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E4FCD" w14:textId="77777777" w:rsidR="00FE1597" w:rsidRPr="00F75AA3" w:rsidRDefault="00817A47">
      <w:pPr>
        <w:tabs>
          <w:tab w:val="left" w:pos="6742"/>
        </w:tabs>
        <w:spacing w:before="240" w:after="120"/>
        <w:ind w:left="-426" w:right="-158"/>
        <w:jc w:val="center"/>
        <w:rPr>
          <w:b/>
          <w:color w:val="000000"/>
          <w:sz w:val="30"/>
          <w:szCs w:val="30"/>
          <w:lang w:val="en-US"/>
        </w:rPr>
      </w:pPr>
      <w:bookmarkStart w:id="0" w:name="_GoBack"/>
      <w:bookmarkEnd w:id="0"/>
      <w:r w:rsidRPr="00F75AA3">
        <w:rPr>
          <w:b/>
          <w:color w:val="000000"/>
          <w:sz w:val="30"/>
          <w:szCs w:val="30"/>
          <w:lang w:val="en-US"/>
        </w:rPr>
        <w:t>Youth: Interdisciplinary perspectives on youth identities and political- social participation (Blended Intensive Program)</w:t>
      </w:r>
    </w:p>
    <w:p w14:paraId="64B82CC5" w14:textId="77777777" w:rsidR="00FE1597" w:rsidRPr="00F75AA3" w:rsidRDefault="00817A47">
      <w:pPr>
        <w:tabs>
          <w:tab w:val="left" w:pos="6742"/>
        </w:tabs>
        <w:spacing w:before="240" w:after="120"/>
        <w:ind w:left="-426" w:right="-158"/>
        <w:jc w:val="center"/>
        <w:rPr>
          <w:color w:val="000000"/>
          <w:lang w:val="en-US"/>
        </w:rPr>
      </w:pPr>
      <w:r w:rsidRPr="00F75AA3">
        <w:rPr>
          <w:color w:val="000000"/>
          <w:lang w:val="en-US"/>
        </w:rPr>
        <w:t>Program presentation and syllabus</w:t>
      </w:r>
    </w:p>
    <w:p w14:paraId="089A7A18" w14:textId="7B6B2258" w:rsidR="00FE1597" w:rsidRPr="00F75AA3" w:rsidRDefault="00817A47">
      <w:pPr>
        <w:tabs>
          <w:tab w:val="left" w:pos="6742"/>
        </w:tabs>
        <w:spacing w:before="240" w:after="120"/>
        <w:ind w:left="-426" w:right="-158"/>
        <w:jc w:val="center"/>
        <w:rPr>
          <w:color w:val="000000"/>
          <w:lang w:val="en-US"/>
        </w:rPr>
      </w:pPr>
      <w:r w:rsidRPr="00F75AA3">
        <w:rPr>
          <w:lang w:val="en-US"/>
        </w:rPr>
        <w:t>2</w:t>
      </w:r>
      <w:r w:rsidR="004C3D28" w:rsidRPr="00F75AA3">
        <w:rPr>
          <w:lang w:val="en-US"/>
        </w:rPr>
        <w:t>8</w:t>
      </w:r>
      <w:r w:rsidRPr="00F75AA3">
        <w:rPr>
          <w:color w:val="000000"/>
          <w:lang w:val="en-US"/>
        </w:rPr>
        <w:t>.02.2024 (version)</w:t>
      </w:r>
    </w:p>
    <w:p w14:paraId="294A9189" w14:textId="77777777" w:rsidR="00FE1597" w:rsidRPr="00F75AA3" w:rsidRDefault="00FE1597">
      <w:pPr>
        <w:spacing w:line="360" w:lineRule="auto"/>
        <w:rPr>
          <w:color w:val="000000"/>
          <w:sz w:val="22"/>
          <w:szCs w:val="22"/>
          <w:lang w:val="en-US"/>
        </w:rPr>
      </w:pPr>
    </w:p>
    <w:p w14:paraId="2CBDEBB2"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Youth has been a contested life stage in biographical, as well as cultural, social, economic and political terms at least since the onset of </w:t>
      </w:r>
      <w:proofErr w:type="spellStart"/>
      <w:r w:rsidRPr="00F75AA3">
        <w:rPr>
          <w:color w:val="000000"/>
          <w:sz w:val="22"/>
          <w:szCs w:val="22"/>
          <w:lang w:val="en-US"/>
        </w:rPr>
        <w:t>modernities</w:t>
      </w:r>
      <w:proofErr w:type="spellEnd"/>
      <w:r w:rsidRPr="00F75AA3">
        <w:rPr>
          <w:color w:val="000000"/>
          <w:sz w:val="22"/>
          <w:szCs w:val="22"/>
          <w:lang w:val="en-US"/>
        </w:rPr>
        <w:t>. Studies of youth bring into focus both the participatory and creative potential of young people, as we</w:t>
      </w:r>
      <w:r w:rsidRPr="00F75AA3">
        <w:rPr>
          <w:color w:val="000000"/>
          <w:sz w:val="22"/>
          <w:szCs w:val="22"/>
          <w:lang w:val="en-US"/>
        </w:rPr>
        <w:t>ll as the systematic processes of their exclusion and marginalization. Youth is constructed as the age of the future which in the contemporary world is associated with uncertainties regarding environment and social crises. This implies a political and soci</w:t>
      </w:r>
      <w:r w:rsidRPr="00F75AA3">
        <w:rPr>
          <w:color w:val="000000"/>
          <w:sz w:val="22"/>
          <w:szCs w:val="22"/>
          <w:lang w:val="en-US"/>
        </w:rPr>
        <w:t>al responsibility placed on youth in relation to conditions of possibility built up by previous generations that now need to be rethought and acted upon. At the same time, in biographical terms the age of youth seems to have been gradually expanding from a</w:t>
      </w:r>
      <w:r w:rsidRPr="00F75AA3">
        <w:rPr>
          <w:color w:val="000000"/>
          <w:sz w:val="22"/>
          <w:szCs w:val="22"/>
          <w:lang w:val="en-US"/>
        </w:rPr>
        <w:t xml:space="preserve"> relatively brief period of adolescence at the onset of the 20th century to contemporary perspectives on emerging adulthood as a relatively open-ended life stage.  </w:t>
      </w:r>
    </w:p>
    <w:p w14:paraId="0D07C49D"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In this Blended Intensive Program (responding to the Erasmus+ call), we seek to co-investig</w:t>
      </w:r>
      <w:r w:rsidRPr="00F75AA3">
        <w:rPr>
          <w:color w:val="000000"/>
          <w:sz w:val="22"/>
          <w:szCs w:val="22"/>
          <w:lang w:val="en-US"/>
        </w:rPr>
        <w:t>ate what youth means today and what it means to be young in the contemporary world. We aim at taking stalk of interdisciplinary perspectives to these questions so as to maximize dialogue between understandings that favor a focus on contextualized lived exp</w:t>
      </w:r>
      <w:r w:rsidRPr="00F75AA3">
        <w:rPr>
          <w:color w:val="000000"/>
          <w:sz w:val="22"/>
          <w:szCs w:val="22"/>
          <w:lang w:val="en-US"/>
        </w:rPr>
        <w:t>erience and those that engage in studying the practices and systems that shape the social, economic and political infrastructures that shape these experiences. As such, students participating in the program will gain an in-depth understanding of recent res</w:t>
      </w:r>
      <w:r w:rsidRPr="00F75AA3">
        <w:rPr>
          <w:color w:val="000000"/>
          <w:sz w:val="22"/>
          <w:szCs w:val="22"/>
          <w:lang w:val="en-US"/>
        </w:rPr>
        <w:t>earch and research methodologies in youth studies from an interdisciplinary perspective, as well as in youth work practices from an international and local perspective. The program entails both virtual and face-to-face training and mentoring activities. Fa</w:t>
      </w:r>
      <w:r w:rsidRPr="00F75AA3">
        <w:rPr>
          <w:color w:val="000000"/>
          <w:sz w:val="22"/>
          <w:szCs w:val="22"/>
          <w:lang w:val="en-US"/>
        </w:rPr>
        <w:t xml:space="preserve">ce-to-face activities will be conducted at UVT, in </w:t>
      </w:r>
      <w:proofErr w:type="spellStart"/>
      <w:r w:rsidRPr="00F75AA3">
        <w:rPr>
          <w:color w:val="000000"/>
          <w:sz w:val="22"/>
          <w:szCs w:val="22"/>
          <w:lang w:val="en-US"/>
        </w:rPr>
        <w:t>Timișoara</w:t>
      </w:r>
      <w:proofErr w:type="spellEnd"/>
      <w:r w:rsidRPr="00F75AA3">
        <w:rPr>
          <w:color w:val="000000"/>
          <w:sz w:val="22"/>
          <w:szCs w:val="22"/>
          <w:lang w:val="en-US"/>
        </w:rPr>
        <w:t>, Romania.</w:t>
      </w:r>
    </w:p>
    <w:p w14:paraId="7E0E704E" w14:textId="77777777" w:rsidR="00FE1597" w:rsidRPr="00F75AA3" w:rsidRDefault="00817A47">
      <w:pPr>
        <w:spacing w:line="360" w:lineRule="auto"/>
        <w:jc w:val="both"/>
        <w:rPr>
          <w:lang w:val="en-US"/>
        </w:rPr>
      </w:pPr>
      <w:r w:rsidRPr="00F75AA3">
        <w:rPr>
          <w:color w:val="000000"/>
          <w:sz w:val="22"/>
          <w:szCs w:val="22"/>
          <w:lang w:val="en-US"/>
        </w:rPr>
        <w:t>The Interdisciplinary perspectives on youth identities and political-social participation Blended Intensive Program seeks to create a learning context for students that will enhance the</w:t>
      </w:r>
      <w:r w:rsidRPr="00F75AA3">
        <w:rPr>
          <w:color w:val="000000"/>
          <w:sz w:val="22"/>
          <w:szCs w:val="22"/>
          <w:lang w:val="en-US"/>
        </w:rPr>
        <w:t>ir awareness of challenges and opportunities of social and political participation of youth with a special focus on marginalized youth and processes of identity building. As a byproduct of the program, we expect to create a network of interested researcher</w:t>
      </w:r>
      <w:r w:rsidRPr="00F75AA3">
        <w:rPr>
          <w:color w:val="000000"/>
          <w:sz w:val="22"/>
          <w:szCs w:val="22"/>
          <w:lang w:val="en-US"/>
        </w:rPr>
        <w:t xml:space="preserve">s, practitioners, students and young people focusing on youth related issues within or connected to the UNITA European consortium, as well as beyond.  </w:t>
      </w:r>
    </w:p>
    <w:p w14:paraId="0AF76629" w14:textId="77777777" w:rsidR="00FE1597" w:rsidRPr="00F75AA3" w:rsidRDefault="00817A47">
      <w:pPr>
        <w:spacing w:line="360" w:lineRule="auto"/>
        <w:jc w:val="both"/>
        <w:rPr>
          <w:sz w:val="22"/>
          <w:szCs w:val="22"/>
          <w:lang w:val="en-US"/>
        </w:rPr>
      </w:pPr>
      <w:r w:rsidRPr="00F75AA3">
        <w:rPr>
          <w:sz w:val="22"/>
          <w:szCs w:val="22"/>
          <w:lang w:val="en-US"/>
        </w:rPr>
        <w:t>The target group for the program is advanced BA, as well as MA and PhD students interested in conducting</w:t>
      </w:r>
      <w:r w:rsidRPr="00F75AA3">
        <w:rPr>
          <w:sz w:val="22"/>
          <w:szCs w:val="22"/>
          <w:lang w:val="en-US"/>
        </w:rPr>
        <w:t xml:space="preserve"> research with and about young people, as well as in engaging professionally in youth work. The program is open to students of any specialty or discipline, but the program may be especially interesting for students of social sciences, education, social wor</w:t>
      </w:r>
      <w:r w:rsidRPr="00F75AA3">
        <w:rPr>
          <w:sz w:val="22"/>
          <w:szCs w:val="22"/>
          <w:lang w:val="en-US"/>
        </w:rPr>
        <w:t xml:space="preserve">k and psychology. While BA and MA </w:t>
      </w:r>
      <w:r w:rsidRPr="00F75AA3">
        <w:rPr>
          <w:sz w:val="22"/>
          <w:szCs w:val="22"/>
          <w:lang w:val="en-US"/>
        </w:rPr>
        <w:lastRenderedPageBreak/>
        <w:t>students are encouraged to take stalk of both practical and research oriented activities, PhD students will be actively involved in working with the international program faculty to mentor BA and MA students on research re</w:t>
      </w:r>
      <w:r w:rsidRPr="00F75AA3">
        <w:rPr>
          <w:sz w:val="22"/>
          <w:szCs w:val="22"/>
          <w:lang w:val="en-US"/>
        </w:rPr>
        <w:t xml:space="preserve">lated questions. </w:t>
      </w:r>
    </w:p>
    <w:p w14:paraId="5016F641" w14:textId="5EE52107" w:rsidR="00FE1597" w:rsidRPr="00F75AA3" w:rsidRDefault="00817A47">
      <w:pPr>
        <w:spacing w:line="360" w:lineRule="auto"/>
        <w:jc w:val="both"/>
        <w:rPr>
          <w:sz w:val="22"/>
          <w:szCs w:val="22"/>
          <w:lang w:val="en-US"/>
        </w:rPr>
      </w:pPr>
      <w:r w:rsidRPr="00F75AA3">
        <w:rPr>
          <w:sz w:val="22"/>
          <w:szCs w:val="22"/>
          <w:lang w:val="en-US"/>
        </w:rPr>
        <w:t>Interested students will apply through their own institution – as different institutional practices for short term Erasmus mobilities do not allow for a unitary approach. A committee from each participating institution will review the app</w:t>
      </w:r>
      <w:r w:rsidRPr="00F75AA3">
        <w:rPr>
          <w:sz w:val="22"/>
          <w:szCs w:val="22"/>
          <w:lang w:val="en-US"/>
        </w:rPr>
        <w:t>lications and select participants according to a set of own criteria, as well as (1)  motivation to participate, (2)  ways in which the student aims to use with experience of participating in the program in the future, (3)  previous relevant experience, (4</w:t>
      </w:r>
      <w:r w:rsidRPr="00F75AA3">
        <w:rPr>
          <w:sz w:val="22"/>
          <w:szCs w:val="22"/>
          <w:lang w:val="en-US"/>
        </w:rPr>
        <w:t>) overall  balance between disciplines and (5) self-assessed or certified level of English. PhD students interested in participating will be given priority if working on a topic or with a methodology broadly relevant to the program aims and/or one particul</w:t>
      </w:r>
      <w:r w:rsidRPr="00F75AA3">
        <w:rPr>
          <w:sz w:val="22"/>
          <w:szCs w:val="22"/>
          <w:lang w:val="en-US"/>
        </w:rPr>
        <w:t xml:space="preserve">ar thematic cluster and if they are interested in participating in the program related mentoring activities. </w:t>
      </w:r>
    </w:p>
    <w:p w14:paraId="1BF200C5"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We will select 25 mobile students + 5 students from UVT. If more students are interested, if possible, numbers will be increased to up to 35 total</w:t>
      </w:r>
      <w:r w:rsidRPr="00F75AA3">
        <w:rPr>
          <w:color w:val="000000"/>
          <w:sz w:val="22"/>
          <w:szCs w:val="22"/>
          <w:lang w:val="en-US"/>
        </w:rPr>
        <w:t xml:space="preserve"> participants and certain students may be waitlisted and will be notified on a short term basis of the possibility to participate if other students withdraw. </w:t>
      </w:r>
    </w:p>
    <w:p w14:paraId="2E144149"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International participating students will be awarded 6 ECTS for completing the course. This invol</w:t>
      </w:r>
      <w:r w:rsidRPr="00F75AA3">
        <w:rPr>
          <w:color w:val="000000"/>
          <w:sz w:val="22"/>
          <w:szCs w:val="22"/>
          <w:lang w:val="en-US"/>
        </w:rPr>
        <w:t>ves active participation in both the online and face-to-face activities in the course with a short term Erasmus mobility and delivering a short project presentation of a collective youth campaign project as part of the final project webinar. UVT based stud</w:t>
      </w:r>
      <w:r w:rsidRPr="00F75AA3">
        <w:rPr>
          <w:color w:val="000000"/>
          <w:sz w:val="22"/>
          <w:szCs w:val="22"/>
          <w:lang w:val="en-US"/>
        </w:rPr>
        <w:t xml:space="preserve">ents will be awarded a participation certificate and may be awarded 2 ECTS for volunteering during the face to face component. </w:t>
      </w:r>
    </w:p>
    <w:p w14:paraId="5A195E71"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International students should attend via an Erasmus short term student mobility. They will receive accommodation in double rooms</w:t>
      </w:r>
      <w:r w:rsidRPr="00F75AA3">
        <w:rPr>
          <w:color w:val="000000"/>
          <w:sz w:val="22"/>
          <w:szCs w:val="22"/>
          <w:lang w:val="en-US"/>
        </w:rPr>
        <w:t xml:space="preserve"> in the UVT university dorms, as well as lunch during project days free of charge. UVT students participating will receive lunch during project days, free of charge. </w:t>
      </w:r>
    </w:p>
    <w:p w14:paraId="1A48F57C" w14:textId="77777777" w:rsidR="00FE1597" w:rsidRPr="00F75AA3" w:rsidRDefault="00FE1597">
      <w:pPr>
        <w:spacing w:line="360" w:lineRule="auto"/>
        <w:jc w:val="both"/>
        <w:rPr>
          <w:color w:val="000000"/>
          <w:sz w:val="22"/>
          <w:szCs w:val="22"/>
          <w:lang w:val="en-US"/>
        </w:rPr>
      </w:pPr>
    </w:p>
    <w:p w14:paraId="7BFE671E"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Learning outcomes: </w:t>
      </w:r>
    </w:p>
    <w:p w14:paraId="69C6D844" w14:textId="77777777" w:rsidR="00FE1597" w:rsidRPr="00F75AA3" w:rsidRDefault="00817A47">
      <w:pPr>
        <w:tabs>
          <w:tab w:val="left" w:pos="6742"/>
        </w:tabs>
        <w:spacing w:before="120" w:after="60"/>
        <w:ind w:right="-159"/>
        <w:rPr>
          <w:b/>
          <w:color w:val="548DD4"/>
          <w:sz w:val="22"/>
          <w:szCs w:val="22"/>
          <w:lang w:val="en-US"/>
        </w:rPr>
      </w:pPr>
      <w:r w:rsidRPr="00F75AA3">
        <w:rPr>
          <w:b/>
          <w:color w:val="548DD4"/>
          <w:sz w:val="22"/>
          <w:szCs w:val="22"/>
          <w:lang w:val="en-US"/>
        </w:rPr>
        <w:t xml:space="preserve">Learning outcomes: </w:t>
      </w:r>
    </w:p>
    <w:p w14:paraId="0C6397FA" w14:textId="77777777" w:rsidR="00FE1597" w:rsidRPr="00F75AA3" w:rsidRDefault="00817A47">
      <w:pPr>
        <w:numPr>
          <w:ilvl w:val="0"/>
          <w:numId w:val="1"/>
        </w:numPr>
        <w:pBdr>
          <w:top w:val="nil"/>
          <w:left w:val="nil"/>
          <w:bottom w:val="nil"/>
          <w:right w:val="nil"/>
          <w:between w:val="nil"/>
        </w:pBdr>
        <w:tabs>
          <w:tab w:val="left" w:pos="6742"/>
        </w:tabs>
        <w:spacing w:before="120"/>
        <w:ind w:right="-159"/>
        <w:rPr>
          <w:color w:val="548DD4"/>
          <w:sz w:val="22"/>
          <w:szCs w:val="22"/>
          <w:lang w:val="en-US"/>
        </w:rPr>
      </w:pPr>
      <w:r w:rsidRPr="00F75AA3">
        <w:rPr>
          <w:color w:val="000000"/>
          <w:sz w:val="22"/>
          <w:szCs w:val="22"/>
          <w:lang w:val="en-US"/>
        </w:rPr>
        <w:t>Participants will gain an overview over the interdisciplinary field of youth studies, on the political and social participation of youth in the European Union today with a special focus on marginalized youth, as well as identity building in relation to cul</w:t>
      </w:r>
      <w:r w:rsidRPr="00F75AA3">
        <w:rPr>
          <w:color w:val="000000"/>
          <w:sz w:val="22"/>
          <w:szCs w:val="22"/>
          <w:lang w:val="en-US"/>
        </w:rPr>
        <w:t xml:space="preserve">tural diversity and cultural heritage. </w:t>
      </w:r>
    </w:p>
    <w:p w14:paraId="63C9FB2E" w14:textId="77777777" w:rsidR="00FE1597" w:rsidRPr="00F75AA3" w:rsidRDefault="00817A47">
      <w:pPr>
        <w:numPr>
          <w:ilvl w:val="0"/>
          <w:numId w:val="1"/>
        </w:numPr>
        <w:pBdr>
          <w:top w:val="nil"/>
          <w:left w:val="nil"/>
          <w:bottom w:val="nil"/>
          <w:right w:val="nil"/>
          <w:between w:val="nil"/>
        </w:pBdr>
        <w:tabs>
          <w:tab w:val="left" w:pos="6742"/>
        </w:tabs>
        <w:ind w:right="-159"/>
        <w:rPr>
          <w:color w:val="548DD4"/>
          <w:sz w:val="22"/>
          <w:szCs w:val="22"/>
          <w:lang w:val="en-US"/>
        </w:rPr>
      </w:pPr>
      <w:r w:rsidRPr="00F75AA3">
        <w:rPr>
          <w:color w:val="000000"/>
          <w:sz w:val="22"/>
          <w:szCs w:val="22"/>
          <w:lang w:val="en-US"/>
        </w:rPr>
        <w:t xml:space="preserve">Participants will learn how to work with young people to foster active, dialogic learning and youth social and political participation. </w:t>
      </w:r>
    </w:p>
    <w:p w14:paraId="56B5F7BD" w14:textId="77777777" w:rsidR="00FE1597" w:rsidRPr="00F75AA3" w:rsidRDefault="00817A47">
      <w:pPr>
        <w:numPr>
          <w:ilvl w:val="0"/>
          <w:numId w:val="1"/>
        </w:numPr>
        <w:pBdr>
          <w:top w:val="nil"/>
          <w:left w:val="nil"/>
          <w:bottom w:val="nil"/>
          <w:right w:val="nil"/>
          <w:between w:val="nil"/>
        </w:pBdr>
        <w:tabs>
          <w:tab w:val="left" w:pos="6742"/>
        </w:tabs>
        <w:spacing w:after="60"/>
        <w:ind w:right="-159"/>
        <w:rPr>
          <w:color w:val="548DD4"/>
          <w:sz w:val="22"/>
          <w:szCs w:val="22"/>
          <w:lang w:val="en-US"/>
        </w:rPr>
      </w:pPr>
      <w:r w:rsidRPr="00F75AA3">
        <w:rPr>
          <w:color w:val="000000"/>
          <w:sz w:val="22"/>
          <w:szCs w:val="22"/>
          <w:lang w:val="en-US"/>
        </w:rPr>
        <w:t xml:space="preserve">Participants will gain an overview over contexts of youth participation (NGOs, youth centers, social centers) and the present challenges and opportunities these contexts face.  </w:t>
      </w:r>
    </w:p>
    <w:p w14:paraId="1DEDFA4F" w14:textId="77777777" w:rsidR="00FE1597" w:rsidRPr="00F75AA3" w:rsidRDefault="00817A47">
      <w:pPr>
        <w:tabs>
          <w:tab w:val="left" w:pos="6742"/>
        </w:tabs>
        <w:spacing w:before="120" w:after="60"/>
        <w:ind w:right="-159"/>
        <w:rPr>
          <w:color w:val="548DD4"/>
          <w:sz w:val="22"/>
          <w:szCs w:val="22"/>
          <w:lang w:val="en-US"/>
        </w:rPr>
      </w:pPr>
      <w:r w:rsidRPr="00F75AA3">
        <w:rPr>
          <w:color w:val="548DD4"/>
          <w:sz w:val="22"/>
          <w:szCs w:val="22"/>
          <w:lang w:val="en-US"/>
        </w:rPr>
        <w:t>Methods:</w:t>
      </w:r>
    </w:p>
    <w:p w14:paraId="4DA86AB6" w14:textId="77777777" w:rsidR="00FE1597" w:rsidRPr="00F75AA3" w:rsidRDefault="00817A47">
      <w:pPr>
        <w:numPr>
          <w:ilvl w:val="0"/>
          <w:numId w:val="1"/>
        </w:numPr>
        <w:pBdr>
          <w:top w:val="nil"/>
          <w:left w:val="nil"/>
          <w:bottom w:val="nil"/>
          <w:right w:val="nil"/>
          <w:between w:val="nil"/>
        </w:pBdr>
        <w:tabs>
          <w:tab w:val="left" w:pos="6742"/>
        </w:tabs>
        <w:spacing w:before="120"/>
        <w:ind w:right="-159"/>
        <w:rPr>
          <w:color w:val="000000"/>
          <w:sz w:val="22"/>
          <w:szCs w:val="22"/>
          <w:lang w:val="en-US"/>
        </w:rPr>
      </w:pPr>
      <w:r w:rsidRPr="00F75AA3">
        <w:rPr>
          <w:color w:val="000000"/>
          <w:sz w:val="22"/>
          <w:szCs w:val="22"/>
          <w:lang w:val="en-US"/>
        </w:rPr>
        <w:t>The BIP seeks to create an active learning context that will embed ex</w:t>
      </w:r>
      <w:r w:rsidRPr="00F75AA3">
        <w:rPr>
          <w:color w:val="000000"/>
          <w:sz w:val="22"/>
          <w:szCs w:val="22"/>
          <w:lang w:val="en-US"/>
        </w:rPr>
        <w:t xml:space="preserve">periential, exploratory, collaborative and reflective learning activities with ‘classic’ lectures. </w:t>
      </w:r>
    </w:p>
    <w:p w14:paraId="5112A2EE" w14:textId="77777777" w:rsidR="00FE1597" w:rsidRPr="00F75AA3" w:rsidRDefault="00817A47">
      <w:pPr>
        <w:numPr>
          <w:ilvl w:val="0"/>
          <w:numId w:val="1"/>
        </w:numPr>
        <w:pBdr>
          <w:top w:val="nil"/>
          <w:left w:val="nil"/>
          <w:bottom w:val="nil"/>
          <w:right w:val="nil"/>
          <w:between w:val="nil"/>
        </w:pBdr>
        <w:tabs>
          <w:tab w:val="left" w:pos="6742"/>
        </w:tabs>
        <w:spacing w:after="60"/>
        <w:ind w:right="-159"/>
        <w:rPr>
          <w:color w:val="000000"/>
          <w:sz w:val="22"/>
          <w:szCs w:val="22"/>
          <w:lang w:val="en-US"/>
        </w:rPr>
      </w:pPr>
      <w:r w:rsidRPr="00F75AA3">
        <w:rPr>
          <w:color w:val="000000"/>
          <w:sz w:val="22"/>
          <w:szCs w:val="22"/>
          <w:lang w:val="en-US"/>
        </w:rPr>
        <w:t xml:space="preserve">Field visits to local NGOs and other social actors (socio-educational centers, </w:t>
      </w:r>
      <w:proofErr w:type="spellStart"/>
      <w:r w:rsidRPr="00F75AA3">
        <w:rPr>
          <w:color w:val="000000"/>
          <w:sz w:val="22"/>
          <w:szCs w:val="22"/>
          <w:lang w:val="en-US"/>
        </w:rPr>
        <w:t>etc</w:t>
      </w:r>
      <w:proofErr w:type="spellEnd"/>
      <w:r w:rsidRPr="00F75AA3">
        <w:rPr>
          <w:color w:val="000000"/>
          <w:sz w:val="22"/>
          <w:szCs w:val="22"/>
          <w:lang w:val="en-US"/>
        </w:rPr>
        <w:t>) will be a key part of activities. These will be complemented with inform</w:t>
      </w:r>
      <w:r w:rsidRPr="00F75AA3">
        <w:rPr>
          <w:color w:val="000000"/>
          <w:sz w:val="22"/>
          <w:szCs w:val="22"/>
          <w:lang w:val="en-US"/>
        </w:rPr>
        <w:t xml:space="preserve">ative lectures that will seek to give an overview of the situation of youth in Europe and globally.  </w:t>
      </w:r>
    </w:p>
    <w:p w14:paraId="530163FE" w14:textId="0061DB15" w:rsidR="00FE1597" w:rsidRPr="00F75AA3" w:rsidRDefault="006E7CA8">
      <w:pPr>
        <w:spacing w:line="360" w:lineRule="auto"/>
        <w:jc w:val="both"/>
        <w:rPr>
          <w:color w:val="000000"/>
          <w:sz w:val="22"/>
          <w:szCs w:val="22"/>
          <w:lang w:val="en-US"/>
        </w:rPr>
      </w:pPr>
      <w:r w:rsidRPr="00F75AA3">
        <w:rPr>
          <w:color w:val="000000"/>
          <w:sz w:val="22"/>
          <w:szCs w:val="22"/>
          <w:lang w:val="en-US"/>
        </w:rPr>
        <w:t xml:space="preserve">Students will engage in project based learning through working collaboratively in mixed teams on a common message encouraging/about young people’s social and political participation. They will create a common product (podcast, poster, video) that will be used to voice their message. </w:t>
      </w:r>
    </w:p>
    <w:p w14:paraId="7765F7D0" w14:textId="77777777" w:rsidR="00FE1597" w:rsidRPr="00F75AA3" w:rsidRDefault="00FE1597">
      <w:pPr>
        <w:spacing w:line="360" w:lineRule="auto"/>
        <w:jc w:val="both"/>
        <w:rPr>
          <w:color w:val="000000"/>
          <w:sz w:val="22"/>
          <w:szCs w:val="22"/>
          <w:lang w:val="en-US"/>
        </w:rPr>
      </w:pPr>
    </w:p>
    <w:p w14:paraId="068674BC" w14:textId="7013E7D4" w:rsidR="00F75AA3" w:rsidRPr="00F75AA3" w:rsidRDefault="00F75AA3">
      <w:pPr>
        <w:spacing w:line="360" w:lineRule="auto"/>
        <w:jc w:val="both"/>
        <w:rPr>
          <w:color w:val="000000"/>
          <w:sz w:val="22"/>
          <w:szCs w:val="22"/>
          <w:lang w:val="en-US"/>
        </w:rPr>
      </w:pPr>
      <w:r w:rsidRPr="00F75AA3">
        <w:rPr>
          <w:color w:val="000000"/>
          <w:sz w:val="22"/>
          <w:szCs w:val="22"/>
          <w:lang w:val="en-US"/>
        </w:rPr>
        <w:t>Summary of key administrative questions</w:t>
      </w:r>
    </w:p>
    <w:tbl>
      <w:tblPr>
        <w:tblStyle w:val="TableGrid"/>
        <w:tblW w:w="9923" w:type="dxa"/>
        <w:tblInd w:w="108" w:type="dxa"/>
        <w:tblLook w:val="04A0" w:firstRow="1" w:lastRow="0" w:firstColumn="1" w:lastColumn="0" w:noHBand="0" w:noVBand="1"/>
      </w:tblPr>
      <w:tblGrid>
        <w:gridCol w:w="9923"/>
      </w:tblGrid>
      <w:tr w:rsidR="00F75AA3" w:rsidRPr="00F75AA3" w14:paraId="667765C7" w14:textId="77777777" w:rsidTr="005F073C">
        <w:tc>
          <w:tcPr>
            <w:tcW w:w="9923" w:type="dxa"/>
          </w:tcPr>
          <w:p w14:paraId="4FB7817A"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r w:rsidRPr="00F75AA3">
              <w:rPr>
                <w:rFonts w:asciiTheme="minorHAnsi" w:hAnsiTheme="minorHAnsi" w:cstheme="minorHAnsi"/>
                <w:b/>
                <w:color w:val="548DD4"/>
                <w:sz w:val="22"/>
                <w:szCs w:val="22"/>
                <w:lang w:val="en-US"/>
              </w:rPr>
              <w:t>Target audience / Participants profile:</w:t>
            </w:r>
          </w:p>
          <w:p w14:paraId="4DEF0A9F" w14:textId="77777777" w:rsidR="00F75AA3" w:rsidRPr="00F75AA3" w:rsidRDefault="00F75AA3" w:rsidP="00F75AA3">
            <w:pPr>
              <w:pStyle w:val="ListParagraph"/>
              <w:numPr>
                <w:ilvl w:val="0"/>
                <w:numId w:val="5"/>
              </w:numPr>
              <w:tabs>
                <w:tab w:val="left" w:pos="6742"/>
              </w:tabs>
              <w:spacing w:before="120" w:after="60"/>
              <w:ind w:right="-159"/>
              <w:rPr>
                <w:rFonts w:asciiTheme="minorHAnsi" w:hAnsiTheme="minorHAnsi" w:cstheme="minorHAnsi"/>
                <w:color w:val="262626" w:themeColor="text1" w:themeTint="D9"/>
                <w:sz w:val="22"/>
                <w:szCs w:val="22"/>
                <w:lang w:val="en-US"/>
              </w:rPr>
            </w:pPr>
            <w:r w:rsidRPr="00F75AA3">
              <w:rPr>
                <w:rFonts w:asciiTheme="minorHAnsi" w:hAnsiTheme="minorHAnsi" w:cstheme="minorHAnsi"/>
                <w:color w:val="262626" w:themeColor="text1" w:themeTint="D9"/>
                <w:sz w:val="22"/>
                <w:szCs w:val="22"/>
                <w:lang w:val="en-US"/>
              </w:rPr>
              <w:t xml:space="preserve">The program is open to BA, MA and PhD level students with an interest in youth studies.  </w:t>
            </w:r>
          </w:p>
        </w:tc>
      </w:tr>
      <w:tr w:rsidR="00F75AA3" w:rsidRPr="00F75AA3" w14:paraId="30DCD5A1" w14:textId="77777777" w:rsidTr="005F073C">
        <w:tc>
          <w:tcPr>
            <w:tcW w:w="9923" w:type="dxa"/>
          </w:tcPr>
          <w:p w14:paraId="0D887257"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r w:rsidRPr="00F75AA3">
              <w:rPr>
                <w:rFonts w:asciiTheme="minorHAnsi" w:hAnsiTheme="minorHAnsi" w:cstheme="minorHAnsi"/>
                <w:b/>
                <w:color w:val="548DD4"/>
                <w:sz w:val="22"/>
                <w:szCs w:val="22"/>
                <w:lang w:val="en-US"/>
              </w:rPr>
              <w:t xml:space="preserve">No of ECTS issued: </w:t>
            </w:r>
            <w:r w:rsidRPr="00F75AA3">
              <w:rPr>
                <w:rFonts w:asciiTheme="minorHAnsi" w:hAnsiTheme="minorHAnsi" w:cstheme="minorHAnsi"/>
                <w:bCs/>
                <w:color w:val="000000" w:themeColor="text1"/>
                <w:sz w:val="22"/>
                <w:szCs w:val="22"/>
                <w:lang w:val="en-US"/>
              </w:rPr>
              <w:t>6 ECTS</w:t>
            </w:r>
          </w:p>
          <w:p w14:paraId="46972E6D"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p>
        </w:tc>
      </w:tr>
      <w:tr w:rsidR="00F75AA3" w:rsidRPr="00F75AA3" w14:paraId="08317870" w14:textId="77777777" w:rsidTr="005F073C">
        <w:tc>
          <w:tcPr>
            <w:tcW w:w="9923" w:type="dxa"/>
          </w:tcPr>
          <w:p w14:paraId="22FC46A6"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r w:rsidRPr="00F75AA3">
              <w:rPr>
                <w:rFonts w:asciiTheme="minorHAnsi" w:hAnsiTheme="minorHAnsi" w:cstheme="minorHAnsi"/>
                <w:b/>
                <w:color w:val="548DD4"/>
                <w:sz w:val="22"/>
                <w:szCs w:val="22"/>
                <w:lang w:val="en-US"/>
              </w:rPr>
              <w:t>Language of instruction and requirements:</w:t>
            </w:r>
          </w:p>
          <w:p w14:paraId="432F1AE2" w14:textId="77777777" w:rsidR="00F75AA3" w:rsidRPr="00F75AA3" w:rsidRDefault="00F75AA3" w:rsidP="00F75AA3">
            <w:pPr>
              <w:pStyle w:val="ListParagraph"/>
              <w:numPr>
                <w:ilvl w:val="0"/>
                <w:numId w:val="4"/>
              </w:numPr>
              <w:tabs>
                <w:tab w:val="left" w:pos="6742"/>
              </w:tabs>
              <w:spacing w:before="120" w:after="60"/>
              <w:ind w:right="-159"/>
              <w:rPr>
                <w:rFonts w:asciiTheme="minorHAnsi" w:hAnsiTheme="minorHAnsi" w:cstheme="minorHAnsi"/>
                <w:bCs/>
                <w:color w:val="000000" w:themeColor="text1"/>
                <w:sz w:val="22"/>
                <w:szCs w:val="22"/>
                <w:lang w:val="en-US"/>
              </w:rPr>
            </w:pPr>
            <w:r w:rsidRPr="00F75AA3">
              <w:rPr>
                <w:rFonts w:asciiTheme="minorHAnsi" w:hAnsiTheme="minorHAnsi" w:cstheme="minorHAnsi"/>
                <w:bCs/>
                <w:color w:val="000000" w:themeColor="text1"/>
                <w:sz w:val="22"/>
                <w:szCs w:val="22"/>
                <w:lang w:val="en-US"/>
              </w:rPr>
              <w:t>Good command of the English language</w:t>
            </w:r>
          </w:p>
          <w:p w14:paraId="01271C02" w14:textId="77777777" w:rsidR="00F75AA3" w:rsidRPr="00F75AA3" w:rsidRDefault="00F75AA3" w:rsidP="00F75AA3">
            <w:pPr>
              <w:pStyle w:val="ListParagraph"/>
              <w:numPr>
                <w:ilvl w:val="0"/>
                <w:numId w:val="4"/>
              </w:numPr>
              <w:tabs>
                <w:tab w:val="left" w:pos="6742"/>
              </w:tabs>
              <w:spacing w:before="120" w:after="60"/>
              <w:ind w:right="-159"/>
              <w:rPr>
                <w:rFonts w:asciiTheme="minorHAnsi" w:hAnsiTheme="minorHAnsi" w:cstheme="minorHAnsi"/>
                <w:color w:val="262626" w:themeColor="text1" w:themeTint="D9"/>
                <w:sz w:val="22"/>
                <w:szCs w:val="22"/>
                <w:lang w:val="en-US"/>
              </w:rPr>
            </w:pPr>
            <w:r w:rsidRPr="00F75AA3">
              <w:rPr>
                <w:rFonts w:asciiTheme="minorHAnsi" w:hAnsiTheme="minorHAnsi" w:cstheme="minorHAnsi"/>
                <w:bCs/>
                <w:color w:val="000000" w:themeColor="text1"/>
                <w:sz w:val="22"/>
                <w:szCs w:val="22"/>
                <w:lang w:val="en-US"/>
              </w:rPr>
              <w:t xml:space="preserve">Interest in youth studies </w:t>
            </w:r>
          </w:p>
          <w:p w14:paraId="546A2C47" w14:textId="77777777" w:rsidR="00F75AA3" w:rsidRPr="00F75AA3" w:rsidRDefault="00F75AA3" w:rsidP="00F75AA3">
            <w:pPr>
              <w:pStyle w:val="ListParagraph"/>
              <w:numPr>
                <w:ilvl w:val="0"/>
                <w:numId w:val="4"/>
              </w:numPr>
              <w:tabs>
                <w:tab w:val="left" w:pos="6742"/>
              </w:tabs>
              <w:spacing w:before="120" w:after="60"/>
              <w:ind w:right="-159"/>
              <w:rPr>
                <w:rFonts w:asciiTheme="minorHAnsi" w:hAnsiTheme="minorHAnsi" w:cstheme="minorHAnsi"/>
                <w:color w:val="262626" w:themeColor="text1" w:themeTint="D9"/>
                <w:sz w:val="22"/>
                <w:szCs w:val="22"/>
                <w:lang w:val="en-US"/>
              </w:rPr>
            </w:pPr>
            <w:r w:rsidRPr="00F75AA3">
              <w:rPr>
                <w:rFonts w:asciiTheme="minorHAnsi" w:hAnsiTheme="minorHAnsi" w:cstheme="minorHAnsi"/>
                <w:color w:val="262626" w:themeColor="text1" w:themeTint="D9"/>
                <w:sz w:val="22"/>
                <w:szCs w:val="22"/>
                <w:lang w:val="en-US"/>
              </w:rPr>
              <w:t xml:space="preserve">Media editing skills are an advantage but not a prerequisite </w:t>
            </w:r>
          </w:p>
        </w:tc>
      </w:tr>
      <w:tr w:rsidR="00F75AA3" w:rsidRPr="00F75AA3" w14:paraId="320171F1" w14:textId="77777777" w:rsidTr="005F073C">
        <w:tc>
          <w:tcPr>
            <w:tcW w:w="9923" w:type="dxa"/>
            <w:tcBorders>
              <w:top w:val="nil"/>
            </w:tcBorders>
          </w:tcPr>
          <w:p w14:paraId="6CE61B0E"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r w:rsidRPr="00F75AA3">
              <w:rPr>
                <w:rFonts w:asciiTheme="minorHAnsi" w:hAnsiTheme="minorHAnsi" w:cstheme="minorHAnsi"/>
                <w:b/>
                <w:color w:val="548DD4"/>
                <w:sz w:val="22"/>
                <w:szCs w:val="22"/>
                <w:lang w:val="en-US"/>
              </w:rPr>
              <w:t xml:space="preserve">Dates for physical activity: </w:t>
            </w:r>
            <w:r w:rsidRPr="00F75AA3">
              <w:rPr>
                <w:rFonts w:asciiTheme="minorHAnsi" w:hAnsiTheme="minorHAnsi" w:cstheme="minorHAnsi"/>
                <w:bCs/>
                <w:color w:val="000000" w:themeColor="text1"/>
                <w:sz w:val="22"/>
                <w:szCs w:val="22"/>
                <w:lang w:val="en-US"/>
              </w:rPr>
              <w:t>10-15.07.2024 (activity days); 8/9.07-16.06 (travel dates)</w:t>
            </w:r>
          </w:p>
          <w:p w14:paraId="52A8D508"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p>
        </w:tc>
      </w:tr>
      <w:tr w:rsidR="00F75AA3" w:rsidRPr="00F75AA3" w14:paraId="0F1023C4" w14:textId="77777777" w:rsidTr="005F073C">
        <w:tc>
          <w:tcPr>
            <w:tcW w:w="9923" w:type="dxa"/>
            <w:tcBorders>
              <w:top w:val="nil"/>
            </w:tcBorders>
          </w:tcPr>
          <w:p w14:paraId="7C7D02D0"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r w:rsidRPr="00F75AA3">
              <w:rPr>
                <w:rFonts w:asciiTheme="minorHAnsi" w:hAnsiTheme="minorHAnsi" w:cstheme="minorHAnsi"/>
                <w:b/>
                <w:color w:val="548DD4"/>
                <w:sz w:val="22"/>
                <w:szCs w:val="22"/>
                <w:lang w:val="en-US"/>
              </w:rPr>
              <w:t xml:space="preserve">Location of physical activity: </w:t>
            </w:r>
            <w:proofErr w:type="spellStart"/>
            <w:r w:rsidRPr="00F75AA3">
              <w:rPr>
                <w:rFonts w:asciiTheme="minorHAnsi" w:hAnsiTheme="minorHAnsi" w:cstheme="minorHAnsi"/>
                <w:bCs/>
                <w:color w:val="000000" w:themeColor="text1"/>
                <w:sz w:val="22"/>
                <w:szCs w:val="22"/>
                <w:lang w:val="en-US"/>
              </w:rPr>
              <w:t>Timișoara</w:t>
            </w:r>
            <w:proofErr w:type="spellEnd"/>
            <w:r w:rsidRPr="00F75AA3">
              <w:rPr>
                <w:rFonts w:asciiTheme="minorHAnsi" w:hAnsiTheme="minorHAnsi" w:cstheme="minorHAnsi"/>
                <w:bCs/>
                <w:color w:val="000000" w:themeColor="text1"/>
                <w:sz w:val="22"/>
                <w:szCs w:val="22"/>
                <w:lang w:val="en-US"/>
              </w:rPr>
              <w:t>, Romania</w:t>
            </w:r>
          </w:p>
          <w:p w14:paraId="62E1E4B7" w14:textId="77777777" w:rsidR="00F75AA3" w:rsidRPr="00F75AA3" w:rsidRDefault="00F75AA3" w:rsidP="005F073C">
            <w:pPr>
              <w:tabs>
                <w:tab w:val="left" w:pos="6742"/>
              </w:tabs>
              <w:spacing w:before="120" w:after="60"/>
              <w:ind w:right="-159"/>
              <w:rPr>
                <w:rFonts w:asciiTheme="minorHAnsi" w:hAnsiTheme="minorHAnsi" w:cstheme="minorHAnsi"/>
                <w:b/>
                <w:color w:val="548DD4"/>
                <w:sz w:val="22"/>
                <w:szCs w:val="22"/>
                <w:lang w:val="en-US"/>
              </w:rPr>
            </w:pPr>
          </w:p>
        </w:tc>
      </w:tr>
      <w:tr w:rsidR="00F75AA3" w:rsidRPr="00F75AA3" w14:paraId="5F3348D3" w14:textId="77777777" w:rsidTr="005F073C">
        <w:tc>
          <w:tcPr>
            <w:tcW w:w="9923" w:type="dxa"/>
            <w:tcBorders>
              <w:top w:val="nil"/>
            </w:tcBorders>
          </w:tcPr>
          <w:p w14:paraId="7938BD2A" w14:textId="77777777" w:rsidR="00F75AA3" w:rsidRPr="00F75AA3" w:rsidRDefault="00F75AA3" w:rsidP="005F073C">
            <w:pPr>
              <w:tabs>
                <w:tab w:val="left" w:pos="6742"/>
              </w:tabs>
              <w:spacing w:before="120" w:after="60"/>
              <w:ind w:right="-159"/>
              <w:rPr>
                <w:rFonts w:asciiTheme="minorHAnsi" w:hAnsiTheme="minorHAnsi" w:cstheme="minorHAnsi"/>
                <w:bCs/>
                <w:color w:val="000000" w:themeColor="text1"/>
                <w:sz w:val="22"/>
                <w:szCs w:val="22"/>
                <w:lang w:val="en-US"/>
              </w:rPr>
            </w:pPr>
            <w:r w:rsidRPr="00F75AA3">
              <w:rPr>
                <w:rFonts w:asciiTheme="minorHAnsi" w:hAnsiTheme="minorHAnsi" w:cstheme="minorHAnsi"/>
                <w:b/>
                <w:color w:val="548DD4"/>
                <w:sz w:val="22"/>
                <w:szCs w:val="22"/>
                <w:lang w:val="en-US"/>
              </w:rPr>
              <w:t xml:space="preserve">Dates for virtual component: </w:t>
            </w:r>
            <w:r w:rsidRPr="00F75AA3">
              <w:rPr>
                <w:rFonts w:asciiTheme="minorHAnsi" w:hAnsiTheme="minorHAnsi" w:cstheme="minorHAnsi"/>
                <w:bCs/>
                <w:color w:val="000000" w:themeColor="text1"/>
                <w:sz w:val="22"/>
                <w:szCs w:val="22"/>
                <w:lang w:val="en-US"/>
              </w:rPr>
              <w:t>May- July 2024</w:t>
            </w:r>
          </w:p>
          <w:p w14:paraId="10BDDF7C" w14:textId="77777777" w:rsidR="00F75AA3" w:rsidRPr="00F75AA3" w:rsidRDefault="00F75AA3" w:rsidP="005F073C">
            <w:pPr>
              <w:tabs>
                <w:tab w:val="left" w:pos="6742"/>
              </w:tabs>
              <w:spacing w:before="120" w:after="60"/>
              <w:ind w:right="-159"/>
              <w:rPr>
                <w:rFonts w:asciiTheme="minorHAnsi" w:hAnsiTheme="minorHAnsi" w:cstheme="minorHAnsi"/>
                <w:color w:val="262626" w:themeColor="text1" w:themeTint="D9"/>
                <w:sz w:val="22"/>
                <w:szCs w:val="22"/>
                <w:lang w:val="en-US"/>
              </w:rPr>
            </w:pPr>
          </w:p>
        </w:tc>
      </w:tr>
    </w:tbl>
    <w:p w14:paraId="2D4B41F3" w14:textId="77777777" w:rsidR="00F75AA3" w:rsidRPr="00F75AA3" w:rsidRDefault="00F75AA3">
      <w:pPr>
        <w:spacing w:line="360" w:lineRule="auto"/>
        <w:jc w:val="both"/>
        <w:rPr>
          <w:color w:val="000000"/>
          <w:sz w:val="22"/>
          <w:szCs w:val="22"/>
          <w:lang w:val="en-US"/>
        </w:rPr>
      </w:pPr>
    </w:p>
    <w:p w14:paraId="6639BA93" w14:textId="77777777" w:rsidR="00F75AA3" w:rsidRPr="00F75AA3" w:rsidRDefault="00F75AA3">
      <w:pPr>
        <w:spacing w:line="360" w:lineRule="auto"/>
        <w:jc w:val="both"/>
        <w:rPr>
          <w:color w:val="000000"/>
          <w:sz w:val="22"/>
          <w:szCs w:val="22"/>
          <w:lang w:val="en-US"/>
        </w:rPr>
      </w:pPr>
    </w:p>
    <w:p w14:paraId="1DE0E006"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Thematic clusters </w:t>
      </w:r>
    </w:p>
    <w:p w14:paraId="56FF0A97" w14:textId="77777777" w:rsidR="00FE1597" w:rsidRPr="00F75AA3" w:rsidRDefault="00817A47">
      <w:pPr>
        <w:numPr>
          <w:ilvl w:val="0"/>
          <w:numId w:val="2"/>
        </w:numPr>
        <w:pBdr>
          <w:top w:val="nil"/>
          <w:left w:val="nil"/>
          <w:bottom w:val="nil"/>
          <w:right w:val="nil"/>
          <w:between w:val="nil"/>
        </w:pBdr>
        <w:spacing w:line="360" w:lineRule="auto"/>
        <w:jc w:val="both"/>
        <w:rPr>
          <w:b/>
          <w:color w:val="000000"/>
          <w:sz w:val="22"/>
          <w:szCs w:val="22"/>
          <w:lang w:val="en-US"/>
        </w:rPr>
      </w:pPr>
      <w:r w:rsidRPr="00F75AA3">
        <w:rPr>
          <w:b/>
          <w:color w:val="000000"/>
          <w:sz w:val="22"/>
          <w:szCs w:val="22"/>
          <w:lang w:val="en-US"/>
        </w:rPr>
        <w:t xml:space="preserve">Youth: social, political and civic participation </w:t>
      </w:r>
    </w:p>
    <w:p w14:paraId="1146167B" w14:textId="77777777" w:rsidR="00FE1597" w:rsidRPr="00F75AA3" w:rsidRDefault="00817A47">
      <w:pPr>
        <w:numPr>
          <w:ilvl w:val="0"/>
          <w:numId w:val="2"/>
        </w:numPr>
        <w:pBdr>
          <w:top w:val="nil"/>
          <w:left w:val="nil"/>
          <w:bottom w:val="nil"/>
          <w:right w:val="nil"/>
          <w:between w:val="nil"/>
        </w:pBdr>
        <w:spacing w:line="360" w:lineRule="auto"/>
        <w:jc w:val="both"/>
        <w:rPr>
          <w:b/>
          <w:color w:val="000000"/>
          <w:sz w:val="22"/>
          <w:szCs w:val="22"/>
          <w:lang w:val="en-US"/>
        </w:rPr>
      </w:pPr>
      <w:r w:rsidRPr="00F75AA3">
        <w:rPr>
          <w:b/>
          <w:color w:val="000000"/>
          <w:sz w:val="22"/>
          <w:szCs w:val="22"/>
          <w:lang w:val="en-US"/>
        </w:rPr>
        <w:t>Youth Identities, Cultural Diversity and Cultural Heritage</w:t>
      </w:r>
    </w:p>
    <w:p w14:paraId="48D91512" w14:textId="77777777" w:rsidR="00FE1597" w:rsidRPr="00F75AA3" w:rsidRDefault="00817A47">
      <w:pPr>
        <w:numPr>
          <w:ilvl w:val="0"/>
          <w:numId w:val="2"/>
        </w:numPr>
        <w:pBdr>
          <w:top w:val="nil"/>
          <w:left w:val="nil"/>
          <w:bottom w:val="nil"/>
          <w:right w:val="nil"/>
          <w:between w:val="nil"/>
        </w:pBdr>
        <w:spacing w:line="360" w:lineRule="auto"/>
        <w:rPr>
          <w:b/>
          <w:color w:val="000000"/>
          <w:sz w:val="22"/>
          <w:szCs w:val="22"/>
          <w:lang w:val="en-US"/>
        </w:rPr>
      </w:pPr>
      <w:r w:rsidRPr="00F75AA3">
        <w:rPr>
          <w:b/>
          <w:color w:val="000000"/>
          <w:sz w:val="22"/>
          <w:szCs w:val="22"/>
          <w:lang w:val="en-US"/>
        </w:rPr>
        <w:t>Youth, marginalization and the contemporary perma-crisis</w:t>
      </w:r>
    </w:p>
    <w:p w14:paraId="4B0A29B5" w14:textId="77777777" w:rsidR="00FE1597" w:rsidRPr="00F75AA3" w:rsidRDefault="00817A47">
      <w:pPr>
        <w:numPr>
          <w:ilvl w:val="0"/>
          <w:numId w:val="2"/>
        </w:numPr>
        <w:pBdr>
          <w:top w:val="nil"/>
          <w:left w:val="nil"/>
          <w:bottom w:val="nil"/>
          <w:right w:val="nil"/>
          <w:between w:val="nil"/>
        </w:pBdr>
        <w:spacing w:line="360" w:lineRule="auto"/>
        <w:rPr>
          <w:b/>
          <w:color w:val="000000"/>
          <w:sz w:val="22"/>
          <w:szCs w:val="22"/>
          <w:lang w:val="en-US"/>
        </w:rPr>
      </w:pPr>
      <w:r w:rsidRPr="00F75AA3">
        <w:rPr>
          <w:b/>
          <w:color w:val="000000"/>
          <w:sz w:val="22"/>
          <w:szCs w:val="22"/>
          <w:lang w:val="en-US"/>
        </w:rPr>
        <w:t>Research methodologies in youth studies</w:t>
      </w:r>
    </w:p>
    <w:p w14:paraId="5FEEDA3F" w14:textId="77777777" w:rsidR="00FE1597" w:rsidRPr="00F75AA3" w:rsidRDefault="00FE1597">
      <w:pPr>
        <w:spacing w:line="360" w:lineRule="auto"/>
        <w:jc w:val="both"/>
        <w:rPr>
          <w:b/>
          <w:color w:val="000000"/>
          <w:sz w:val="22"/>
          <w:szCs w:val="22"/>
          <w:lang w:val="en-US"/>
        </w:rPr>
      </w:pPr>
    </w:p>
    <w:p w14:paraId="69378664"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Each thematic cluster will bring together relevant program faculty teaching the associated modules during the face to face mobility and students that want to design their collaborative or individual campaign project within the thematic cluster. Thematic cl</w:t>
      </w:r>
      <w:r w:rsidRPr="00F75AA3">
        <w:rPr>
          <w:color w:val="000000"/>
          <w:sz w:val="22"/>
          <w:szCs w:val="22"/>
          <w:lang w:val="en-US"/>
        </w:rPr>
        <w:t xml:space="preserve">usters should meet for mentoring sessions during the face to face program. Thematic clusters will also involve field visits and guest lectures from youth work practitioners working outside university settings. </w:t>
      </w:r>
    </w:p>
    <w:p w14:paraId="122B8C90" w14:textId="77777777" w:rsidR="00FE1597" w:rsidRPr="00F75AA3" w:rsidRDefault="00FE1597">
      <w:pPr>
        <w:spacing w:line="360" w:lineRule="auto"/>
        <w:jc w:val="both"/>
        <w:rPr>
          <w:color w:val="000000"/>
          <w:sz w:val="22"/>
          <w:szCs w:val="22"/>
          <w:lang w:val="en-US"/>
        </w:rPr>
      </w:pPr>
    </w:p>
    <w:p w14:paraId="2BBC28CF" w14:textId="77777777" w:rsidR="00FE1597" w:rsidRPr="00F75AA3" w:rsidRDefault="00817A47">
      <w:pPr>
        <w:spacing w:line="360" w:lineRule="auto"/>
        <w:jc w:val="both"/>
        <w:rPr>
          <w:b/>
          <w:color w:val="000000"/>
          <w:sz w:val="22"/>
          <w:szCs w:val="22"/>
          <w:lang w:val="en-US"/>
        </w:rPr>
      </w:pPr>
      <w:r w:rsidRPr="00F75AA3">
        <w:rPr>
          <w:b/>
          <w:color w:val="000000"/>
          <w:sz w:val="22"/>
          <w:szCs w:val="22"/>
          <w:lang w:val="en-US"/>
        </w:rPr>
        <w:t>Program faculty</w:t>
      </w:r>
    </w:p>
    <w:p w14:paraId="6C766563" w14:textId="77777777" w:rsidR="00FE1597" w:rsidRPr="00F75AA3" w:rsidRDefault="00FE1597">
      <w:pPr>
        <w:spacing w:line="360" w:lineRule="auto"/>
        <w:jc w:val="both"/>
        <w:rPr>
          <w:color w:val="000000"/>
          <w:sz w:val="22"/>
          <w:szCs w:val="22"/>
          <w:lang w:val="en-US"/>
        </w:rPr>
      </w:pPr>
    </w:p>
    <w:p w14:paraId="151C7F27"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Cluster 1: Youth: social, p</w:t>
      </w:r>
      <w:r w:rsidRPr="00F75AA3">
        <w:rPr>
          <w:color w:val="000000"/>
          <w:sz w:val="22"/>
          <w:szCs w:val="22"/>
          <w:lang w:val="en-US"/>
        </w:rPr>
        <w:t xml:space="preserve">olitical and civic participation (Marius </w:t>
      </w:r>
      <w:proofErr w:type="spellStart"/>
      <w:r w:rsidRPr="00F75AA3">
        <w:rPr>
          <w:color w:val="000000"/>
          <w:sz w:val="22"/>
          <w:szCs w:val="22"/>
          <w:lang w:val="en-US"/>
        </w:rPr>
        <w:t>Matichescu</w:t>
      </w:r>
      <w:proofErr w:type="spellEnd"/>
      <w:r w:rsidRPr="00F75AA3">
        <w:rPr>
          <w:color w:val="000000"/>
          <w:sz w:val="22"/>
          <w:szCs w:val="22"/>
          <w:lang w:val="en-US"/>
        </w:rPr>
        <w:t xml:space="preserve">, UVT; Bruno Ferreira da Costa UBI + 1,  Sotiris </w:t>
      </w:r>
      <w:proofErr w:type="spellStart"/>
      <w:r w:rsidRPr="00F75AA3">
        <w:rPr>
          <w:color w:val="000000"/>
          <w:sz w:val="22"/>
          <w:szCs w:val="22"/>
          <w:lang w:val="en-US"/>
        </w:rPr>
        <w:t>Petropoulus</w:t>
      </w:r>
      <w:proofErr w:type="spellEnd"/>
      <w:r w:rsidRPr="00F75AA3">
        <w:rPr>
          <w:color w:val="000000"/>
          <w:sz w:val="22"/>
          <w:szCs w:val="22"/>
          <w:lang w:val="en-US"/>
        </w:rPr>
        <w:t xml:space="preserve">, </w:t>
      </w:r>
      <w:proofErr w:type="spellStart"/>
      <w:r w:rsidRPr="00F75AA3">
        <w:rPr>
          <w:color w:val="000000"/>
          <w:sz w:val="22"/>
          <w:szCs w:val="22"/>
          <w:lang w:val="en-US"/>
        </w:rPr>
        <w:t>UoP</w:t>
      </w:r>
      <w:proofErr w:type="spellEnd"/>
      <w:r w:rsidRPr="00F75AA3">
        <w:rPr>
          <w:color w:val="000000"/>
          <w:sz w:val="22"/>
          <w:szCs w:val="22"/>
          <w:lang w:val="en-US"/>
        </w:rPr>
        <w:t xml:space="preserve">, Asteris Huliaras </w:t>
      </w:r>
      <w:proofErr w:type="spellStart"/>
      <w:r w:rsidRPr="00F75AA3">
        <w:rPr>
          <w:color w:val="000000"/>
          <w:sz w:val="22"/>
          <w:szCs w:val="22"/>
          <w:lang w:val="en-US"/>
        </w:rPr>
        <w:t>UoP</w:t>
      </w:r>
      <w:proofErr w:type="spellEnd"/>
      <w:r w:rsidRPr="00F75AA3">
        <w:rPr>
          <w:color w:val="000000"/>
          <w:sz w:val="22"/>
          <w:szCs w:val="22"/>
          <w:lang w:val="en-US"/>
        </w:rPr>
        <w:t xml:space="preserve">) </w:t>
      </w:r>
    </w:p>
    <w:p w14:paraId="0146BC23"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Cluster 2: Youth Identities, cultural diversity and cultural heritage (Roberta </w:t>
      </w:r>
      <w:proofErr w:type="spellStart"/>
      <w:r w:rsidRPr="00F75AA3">
        <w:rPr>
          <w:color w:val="000000"/>
          <w:sz w:val="22"/>
          <w:szCs w:val="22"/>
          <w:lang w:val="en-US"/>
        </w:rPr>
        <w:t>Ricucci</w:t>
      </w:r>
      <w:proofErr w:type="spellEnd"/>
      <w:r w:rsidRPr="00F75AA3">
        <w:rPr>
          <w:color w:val="000000"/>
          <w:sz w:val="22"/>
          <w:szCs w:val="22"/>
          <w:lang w:val="en-US"/>
        </w:rPr>
        <w:t xml:space="preserve">, </w:t>
      </w:r>
      <w:proofErr w:type="spellStart"/>
      <w:r w:rsidRPr="00F75AA3">
        <w:rPr>
          <w:color w:val="000000"/>
          <w:sz w:val="22"/>
          <w:szCs w:val="22"/>
          <w:lang w:val="en-US"/>
        </w:rPr>
        <w:t>Unito</w:t>
      </w:r>
      <w:proofErr w:type="spellEnd"/>
      <w:r w:rsidRPr="00F75AA3">
        <w:rPr>
          <w:color w:val="000000"/>
          <w:sz w:val="22"/>
          <w:szCs w:val="22"/>
          <w:lang w:val="en-US"/>
        </w:rPr>
        <w:t xml:space="preserve">, Stella Pina </w:t>
      </w:r>
      <w:proofErr w:type="spellStart"/>
      <w:r w:rsidRPr="00F75AA3">
        <w:rPr>
          <w:color w:val="000000"/>
          <w:sz w:val="22"/>
          <w:szCs w:val="22"/>
          <w:lang w:val="en-US"/>
        </w:rPr>
        <w:t>Pintor</w:t>
      </w:r>
      <w:proofErr w:type="spellEnd"/>
      <w:r w:rsidRPr="00F75AA3">
        <w:rPr>
          <w:color w:val="000000"/>
          <w:sz w:val="22"/>
          <w:szCs w:val="22"/>
          <w:lang w:val="en-US"/>
        </w:rPr>
        <w:t xml:space="preserve">, </w:t>
      </w:r>
      <w:r w:rsidRPr="00F75AA3">
        <w:rPr>
          <w:color w:val="000000"/>
          <w:sz w:val="22"/>
          <w:szCs w:val="22"/>
          <w:lang w:val="en-US"/>
        </w:rPr>
        <w:t xml:space="preserve">Anna </w:t>
      </w:r>
      <w:proofErr w:type="spellStart"/>
      <w:r w:rsidRPr="00F75AA3">
        <w:rPr>
          <w:color w:val="000000"/>
          <w:sz w:val="22"/>
          <w:szCs w:val="22"/>
          <w:lang w:val="en-US"/>
        </w:rPr>
        <w:t>Miglietta</w:t>
      </w:r>
      <w:proofErr w:type="spellEnd"/>
      <w:r w:rsidRPr="00F75AA3">
        <w:rPr>
          <w:color w:val="000000"/>
          <w:sz w:val="22"/>
          <w:szCs w:val="22"/>
          <w:lang w:val="en-US"/>
        </w:rPr>
        <w:t xml:space="preserve"> </w:t>
      </w:r>
      <w:proofErr w:type="spellStart"/>
      <w:r w:rsidRPr="00F75AA3">
        <w:rPr>
          <w:color w:val="000000"/>
          <w:sz w:val="22"/>
          <w:szCs w:val="22"/>
          <w:lang w:val="en-US"/>
        </w:rPr>
        <w:t>Unito</w:t>
      </w:r>
      <w:proofErr w:type="spellEnd"/>
      <w:r w:rsidRPr="00F75AA3">
        <w:rPr>
          <w:color w:val="000000"/>
          <w:sz w:val="22"/>
          <w:szCs w:val="22"/>
          <w:lang w:val="en-US"/>
        </w:rPr>
        <w:t xml:space="preserve">, Viviana </w:t>
      </w:r>
      <w:proofErr w:type="spellStart"/>
      <w:r w:rsidRPr="00F75AA3">
        <w:rPr>
          <w:color w:val="000000"/>
          <w:sz w:val="22"/>
          <w:szCs w:val="22"/>
          <w:lang w:val="en-US"/>
        </w:rPr>
        <w:t>Premazzi</w:t>
      </w:r>
      <w:proofErr w:type="spellEnd"/>
      <w:r w:rsidRPr="00F75AA3">
        <w:rPr>
          <w:color w:val="000000"/>
          <w:sz w:val="22"/>
          <w:szCs w:val="22"/>
          <w:lang w:val="en-US"/>
        </w:rPr>
        <w:t xml:space="preserve"> GMT,  Pilar Rivero </w:t>
      </w:r>
      <w:proofErr w:type="spellStart"/>
      <w:r w:rsidRPr="00F75AA3">
        <w:rPr>
          <w:color w:val="000000"/>
          <w:sz w:val="22"/>
          <w:szCs w:val="22"/>
          <w:lang w:val="en-US"/>
        </w:rPr>
        <w:t>Unizar</w:t>
      </w:r>
      <w:proofErr w:type="spellEnd"/>
      <w:r w:rsidRPr="00F75AA3">
        <w:rPr>
          <w:color w:val="000000"/>
          <w:sz w:val="22"/>
          <w:szCs w:val="22"/>
          <w:lang w:val="en-US"/>
        </w:rPr>
        <w:t xml:space="preserve">) </w:t>
      </w:r>
    </w:p>
    <w:p w14:paraId="11AC2A56"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Cluster 3: Youth, marginalization and the contemporary perma-crisis (Viviana Patti, </w:t>
      </w:r>
      <w:proofErr w:type="spellStart"/>
      <w:r w:rsidRPr="00F75AA3">
        <w:rPr>
          <w:color w:val="000000"/>
          <w:sz w:val="22"/>
          <w:szCs w:val="22"/>
          <w:lang w:val="en-US"/>
        </w:rPr>
        <w:t>Unito</w:t>
      </w:r>
      <w:proofErr w:type="spellEnd"/>
      <w:r w:rsidRPr="00F75AA3">
        <w:rPr>
          <w:color w:val="000000"/>
          <w:sz w:val="22"/>
          <w:szCs w:val="22"/>
          <w:lang w:val="en-US"/>
        </w:rPr>
        <w:t xml:space="preserve">, Leyla </w:t>
      </w:r>
      <w:proofErr w:type="spellStart"/>
      <w:r w:rsidRPr="00F75AA3">
        <w:rPr>
          <w:color w:val="000000"/>
          <w:sz w:val="22"/>
          <w:szCs w:val="22"/>
          <w:lang w:val="en-US"/>
        </w:rPr>
        <w:t>Safta-Zecheria</w:t>
      </w:r>
      <w:proofErr w:type="spellEnd"/>
      <w:r w:rsidRPr="00F75AA3">
        <w:rPr>
          <w:color w:val="000000"/>
          <w:sz w:val="22"/>
          <w:szCs w:val="22"/>
          <w:lang w:val="en-US"/>
        </w:rPr>
        <w:t xml:space="preserve"> UVT; </w:t>
      </w:r>
      <w:proofErr w:type="spellStart"/>
      <w:r w:rsidRPr="00F75AA3">
        <w:rPr>
          <w:color w:val="000000"/>
          <w:sz w:val="22"/>
          <w:szCs w:val="22"/>
          <w:lang w:val="en-US"/>
        </w:rPr>
        <w:t>Mugur</w:t>
      </w:r>
      <w:proofErr w:type="spellEnd"/>
      <w:r w:rsidRPr="00F75AA3">
        <w:rPr>
          <w:color w:val="000000"/>
          <w:sz w:val="22"/>
          <w:szCs w:val="22"/>
          <w:lang w:val="en-US"/>
        </w:rPr>
        <w:t xml:space="preserve"> </w:t>
      </w:r>
      <w:proofErr w:type="spellStart"/>
      <w:r w:rsidRPr="00F75AA3">
        <w:rPr>
          <w:color w:val="000000"/>
          <w:sz w:val="22"/>
          <w:szCs w:val="22"/>
          <w:lang w:val="en-US"/>
        </w:rPr>
        <w:t>Ciumăgeanu</w:t>
      </w:r>
      <w:proofErr w:type="spellEnd"/>
      <w:r w:rsidRPr="00F75AA3">
        <w:rPr>
          <w:color w:val="000000"/>
          <w:sz w:val="22"/>
          <w:szCs w:val="22"/>
          <w:lang w:val="en-US"/>
        </w:rPr>
        <w:t xml:space="preserve"> UVT))</w:t>
      </w:r>
    </w:p>
    <w:p w14:paraId="14E0F1C0"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Cluster 4: Research methodologies in youth studie</w:t>
      </w:r>
      <w:r w:rsidRPr="00F75AA3">
        <w:rPr>
          <w:color w:val="000000"/>
          <w:sz w:val="22"/>
          <w:szCs w:val="22"/>
          <w:lang w:val="en-US"/>
        </w:rPr>
        <w:t>s (Leyla Safta-Zecheria, UVT)</w:t>
      </w:r>
    </w:p>
    <w:p w14:paraId="14A6FCD3" w14:textId="77777777" w:rsidR="00FE1597" w:rsidRPr="00F75AA3" w:rsidRDefault="00FE1597">
      <w:pPr>
        <w:spacing w:line="360" w:lineRule="auto"/>
        <w:jc w:val="both"/>
        <w:rPr>
          <w:color w:val="000000"/>
          <w:sz w:val="22"/>
          <w:szCs w:val="22"/>
          <w:lang w:val="en-US"/>
        </w:rPr>
      </w:pPr>
    </w:p>
    <w:p w14:paraId="653DF0F8" w14:textId="77777777" w:rsidR="00FE1597" w:rsidRPr="00F75AA3" w:rsidRDefault="00817A47">
      <w:pPr>
        <w:spacing w:line="360" w:lineRule="auto"/>
        <w:jc w:val="both"/>
        <w:rPr>
          <w:b/>
          <w:color w:val="000000"/>
          <w:sz w:val="22"/>
          <w:szCs w:val="22"/>
          <w:lang w:val="en-US"/>
        </w:rPr>
      </w:pPr>
      <w:r w:rsidRPr="00F75AA3">
        <w:rPr>
          <w:b/>
          <w:color w:val="000000"/>
          <w:sz w:val="22"/>
          <w:szCs w:val="22"/>
          <w:lang w:val="en-US"/>
        </w:rPr>
        <w:t>Timeline of project activities</w:t>
      </w:r>
    </w:p>
    <w:p w14:paraId="14525923" w14:textId="77777777" w:rsidR="00FE1597" w:rsidRPr="00F75AA3" w:rsidRDefault="00FE1597">
      <w:pPr>
        <w:spacing w:line="360" w:lineRule="auto"/>
        <w:jc w:val="both"/>
        <w:rPr>
          <w:color w:val="000000"/>
          <w:sz w:val="22"/>
          <w:szCs w:val="22"/>
          <w:lang w:val="en-US"/>
        </w:rPr>
      </w:pPr>
    </w:p>
    <w:p w14:paraId="36325940"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March 2024 – Call for Participants opens in all partner universities </w:t>
      </w:r>
    </w:p>
    <w:p w14:paraId="4496B54E"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Until 1</w:t>
      </w:r>
      <w:r w:rsidRPr="00F75AA3">
        <w:rPr>
          <w:color w:val="000000"/>
          <w:sz w:val="22"/>
          <w:szCs w:val="22"/>
          <w:vertAlign w:val="superscript"/>
          <w:lang w:val="en-US"/>
        </w:rPr>
        <w:t>st</w:t>
      </w:r>
      <w:r w:rsidRPr="00F75AA3">
        <w:rPr>
          <w:color w:val="000000"/>
          <w:sz w:val="22"/>
          <w:szCs w:val="22"/>
          <w:lang w:val="en-US"/>
        </w:rPr>
        <w:t xml:space="preserve"> of May – Participating Universities organize the selection process of participating students via Erasmus offices</w:t>
      </w:r>
    </w:p>
    <w:p w14:paraId="64B64EFF"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May 2024 – First 120 minutes online webinar: </w:t>
      </w:r>
      <w:r w:rsidRPr="00F75AA3">
        <w:rPr>
          <w:b/>
          <w:color w:val="000000"/>
          <w:sz w:val="22"/>
          <w:szCs w:val="22"/>
          <w:lang w:val="en-US"/>
        </w:rPr>
        <w:t>Introductions and collaborative work</w:t>
      </w:r>
      <w:r w:rsidRPr="00F75AA3">
        <w:rPr>
          <w:color w:val="000000"/>
          <w:sz w:val="22"/>
          <w:szCs w:val="22"/>
          <w:lang w:val="en-US"/>
        </w:rPr>
        <w:t>. General presentation of the blended intensive program, faculty and students, socialization activities. Outcome: students will explore working in teams discussing the challen</w:t>
      </w:r>
      <w:r w:rsidRPr="00F75AA3">
        <w:rPr>
          <w:color w:val="000000"/>
          <w:sz w:val="22"/>
          <w:szCs w:val="22"/>
          <w:lang w:val="en-US"/>
        </w:rPr>
        <w:t>ges for youth in their particular social contexts with a view of co-creating a campaign (as final output) – a design sketch will be prepared until the next webinar in the random online team. Readings and preparatory materials will be distributed to prepare</w:t>
      </w:r>
      <w:r w:rsidRPr="00F75AA3">
        <w:rPr>
          <w:color w:val="000000"/>
          <w:sz w:val="22"/>
          <w:szCs w:val="22"/>
          <w:lang w:val="en-US"/>
        </w:rPr>
        <w:t xml:space="preserve"> for the face to face meeting. </w:t>
      </w:r>
    </w:p>
    <w:p w14:paraId="4101686D"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 xml:space="preserve">June 2024 – Second 120 minutes online webinar: update on the program of the face to face activities. </w:t>
      </w:r>
      <w:r w:rsidRPr="00F75AA3">
        <w:rPr>
          <w:b/>
          <w:color w:val="000000"/>
          <w:sz w:val="22"/>
          <w:szCs w:val="22"/>
          <w:lang w:val="en-US"/>
        </w:rPr>
        <w:t>Presentations of the campaign sketches.</w:t>
      </w:r>
      <w:r w:rsidRPr="00F75AA3">
        <w:rPr>
          <w:color w:val="000000"/>
          <w:sz w:val="22"/>
          <w:szCs w:val="22"/>
          <w:lang w:val="en-US"/>
        </w:rPr>
        <w:t xml:space="preserve"> Discussion of the campaign sketches in new random international small groups – arou</w:t>
      </w:r>
      <w:r w:rsidRPr="00F75AA3">
        <w:rPr>
          <w:color w:val="000000"/>
          <w:sz w:val="22"/>
          <w:szCs w:val="22"/>
          <w:lang w:val="en-US"/>
        </w:rPr>
        <w:t xml:space="preserve">nd the theme of relevance of the campaigns and how they could be improved. Young are motivated to think about which type of campaign sketch they would like to work with during the program. </w:t>
      </w:r>
    </w:p>
    <w:p w14:paraId="6E0FE4A1" w14:textId="77777777" w:rsidR="00FE1597" w:rsidRPr="00F75AA3" w:rsidRDefault="00817A47">
      <w:pPr>
        <w:spacing w:line="360" w:lineRule="auto"/>
        <w:jc w:val="both"/>
        <w:rPr>
          <w:color w:val="000000"/>
          <w:sz w:val="22"/>
          <w:szCs w:val="22"/>
          <w:lang w:val="en-US"/>
        </w:rPr>
      </w:pPr>
      <w:r w:rsidRPr="00F75AA3">
        <w:rPr>
          <w:b/>
          <w:color w:val="000000"/>
          <w:sz w:val="22"/>
          <w:szCs w:val="22"/>
          <w:lang w:val="en-US"/>
        </w:rPr>
        <w:t>10</w:t>
      </w:r>
      <w:r w:rsidRPr="00F75AA3">
        <w:rPr>
          <w:b/>
          <w:color w:val="000000"/>
          <w:sz w:val="22"/>
          <w:szCs w:val="22"/>
          <w:vertAlign w:val="superscript"/>
          <w:lang w:val="en-US"/>
        </w:rPr>
        <w:t>th</w:t>
      </w:r>
      <w:r w:rsidRPr="00F75AA3">
        <w:rPr>
          <w:b/>
          <w:color w:val="000000"/>
          <w:sz w:val="22"/>
          <w:szCs w:val="22"/>
          <w:lang w:val="en-US"/>
        </w:rPr>
        <w:t xml:space="preserve"> – 15</w:t>
      </w:r>
      <w:r w:rsidRPr="00F75AA3">
        <w:rPr>
          <w:b/>
          <w:color w:val="000000"/>
          <w:sz w:val="22"/>
          <w:szCs w:val="22"/>
          <w:vertAlign w:val="superscript"/>
          <w:lang w:val="en-US"/>
        </w:rPr>
        <w:t>th</w:t>
      </w:r>
      <w:r w:rsidRPr="00F75AA3">
        <w:rPr>
          <w:b/>
          <w:color w:val="000000"/>
          <w:sz w:val="22"/>
          <w:szCs w:val="22"/>
          <w:lang w:val="en-US"/>
        </w:rPr>
        <w:t xml:space="preserve"> July 2024 –</w:t>
      </w:r>
      <w:r w:rsidRPr="00F75AA3">
        <w:rPr>
          <w:color w:val="000000"/>
          <w:sz w:val="22"/>
          <w:szCs w:val="22"/>
          <w:lang w:val="en-US"/>
        </w:rPr>
        <w:t xml:space="preserve"> </w:t>
      </w:r>
      <w:r w:rsidRPr="00F75AA3">
        <w:rPr>
          <w:b/>
          <w:color w:val="000000"/>
          <w:sz w:val="22"/>
          <w:szCs w:val="22"/>
          <w:lang w:val="en-US"/>
        </w:rPr>
        <w:t xml:space="preserve">Physical mobility phase in </w:t>
      </w:r>
      <w:proofErr w:type="spellStart"/>
      <w:r w:rsidRPr="00F75AA3">
        <w:rPr>
          <w:b/>
          <w:color w:val="000000"/>
          <w:sz w:val="22"/>
          <w:szCs w:val="22"/>
          <w:lang w:val="en-US"/>
        </w:rPr>
        <w:t>Timișoara</w:t>
      </w:r>
      <w:proofErr w:type="spellEnd"/>
      <w:r w:rsidRPr="00F75AA3">
        <w:rPr>
          <w:b/>
          <w:color w:val="000000"/>
          <w:sz w:val="22"/>
          <w:szCs w:val="22"/>
          <w:lang w:val="en-US"/>
        </w:rPr>
        <w:t>, Roma</w:t>
      </w:r>
      <w:r w:rsidRPr="00F75AA3">
        <w:rPr>
          <w:b/>
          <w:color w:val="000000"/>
          <w:sz w:val="22"/>
          <w:szCs w:val="22"/>
          <w:lang w:val="en-US"/>
        </w:rPr>
        <w:t>nia</w:t>
      </w:r>
      <w:r w:rsidRPr="00F75AA3">
        <w:rPr>
          <w:color w:val="000000"/>
          <w:sz w:val="22"/>
          <w:szCs w:val="22"/>
          <w:lang w:val="en-US"/>
        </w:rPr>
        <w:t xml:space="preserve">. Intense research and practice oriented training activities. </w:t>
      </w:r>
    </w:p>
    <w:p w14:paraId="72C2D5D1" w14:textId="77777777" w:rsidR="00FE1597" w:rsidRPr="00F75AA3" w:rsidRDefault="00817A47">
      <w:pPr>
        <w:spacing w:line="360" w:lineRule="auto"/>
        <w:jc w:val="both"/>
        <w:rPr>
          <w:color w:val="000000"/>
          <w:sz w:val="22"/>
          <w:szCs w:val="22"/>
          <w:lang w:val="en-US"/>
        </w:rPr>
      </w:pPr>
      <w:r w:rsidRPr="00F75AA3">
        <w:rPr>
          <w:color w:val="000000"/>
          <w:sz w:val="22"/>
          <w:szCs w:val="22"/>
          <w:lang w:val="en-US"/>
        </w:rPr>
        <w:t>16</w:t>
      </w:r>
      <w:r w:rsidRPr="00F75AA3">
        <w:rPr>
          <w:color w:val="000000"/>
          <w:sz w:val="22"/>
          <w:szCs w:val="22"/>
          <w:vertAlign w:val="superscript"/>
          <w:lang w:val="en-US"/>
        </w:rPr>
        <w:t>th</w:t>
      </w:r>
      <w:r w:rsidRPr="00F75AA3">
        <w:rPr>
          <w:color w:val="000000"/>
          <w:sz w:val="22"/>
          <w:szCs w:val="22"/>
          <w:lang w:val="en-US"/>
        </w:rPr>
        <w:t>-31</w:t>
      </w:r>
      <w:r w:rsidRPr="00F75AA3">
        <w:rPr>
          <w:color w:val="000000"/>
          <w:sz w:val="22"/>
          <w:szCs w:val="22"/>
          <w:vertAlign w:val="superscript"/>
          <w:lang w:val="en-US"/>
        </w:rPr>
        <w:t>st</w:t>
      </w:r>
      <w:r w:rsidRPr="00F75AA3">
        <w:rPr>
          <w:color w:val="000000"/>
          <w:sz w:val="22"/>
          <w:szCs w:val="22"/>
          <w:lang w:val="en-US"/>
        </w:rPr>
        <w:t xml:space="preserve"> July – </w:t>
      </w:r>
      <w:r w:rsidRPr="00F75AA3">
        <w:rPr>
          <w:b/>
          <w:color w:val="000000"/>
          <w:sz w:val="22"/>
          <w:szCs w:val="22"/>
          <w:lang w:val="en-US"/>
        </w:rPr>
        <w:t xml:space="preserve">Upload of final projects via </w:t>
      </w:r>
      <w:proofErr w:type="spellStart"/>
      <w:r w:rsidRPr="00F75AA3">
        <w:rPr>
          <w:b/>
          <w:color w:val="000000"/>
          <w:sz w:val="22"/>
          <w:szCs w:val="22"/>
          <w:lang w:val="en-US"/>
        </w:rPr>
        <w:t>googleforms</w:t>
      </w:r>
      <w:proofErr w:type="spellEnd"/>
      <w:r w:rsidRPr="00F75AA3">
        <w:rPr>
          <w:b/>
          <w:color w:val="000000"/>
          <w:sz w:val="22"/>
          <w:szCs w:val="22"/>
          <w:lang w:val="en-US"/>
        </w:rPr>
        <w:t xml:space="preserve"> and</w:t>
      </w:r>
      <w:r w:rsidRPr="00F75AA3">
        <w:rPr>
          <w:color w:val="000000"/>
          <w:sz w:val="22"/>
          <w:szCs w:val="22"/>
          <w:lang w:val="en-US"/>
        </w:rPr>
        <w:t xml:space="preserve"> </w:t>
      </w:r>
      <w:r w:rsidRPr="00F75AA3">
        <w:rPr>
          <w:b/>
          <w:color w:val="000000"/>
          <w:sz w:val="22"/>
          <w:szCs w:val="22"/>
          <w:lang w:val="en-US"/>
        </w:rPr>
        <w:t>final project webinar –</w:t>
      </w:r>
      <w:r w:rsidRPr="00F75AA3">
        <w:rPr>
          <w:color w:val="000000"/>
          <w:sz w:val="22"/>
          <w:szCs w:val="22"/>
          <w:lang w:val="en-US"/>
        </w:rPr>
        <w:t xml:space="preserve"> presentations of youth campaign sketches and final project evaluation. </w:t>
      </w:r>
    </w:p>
    <w:p w14:paraId="3791B155" w14:textId="77777777" w:rsidR="00FE1597" w:rsidRPr="00F75AA3" w:rsidRDefault="00FE1597">
      <w:pPr>
        <w:spacing w:line="360" w:lineRule="auto"/>
        <w:jc w:val="both"/>
        <w:rPr>
          <w:b/>
          <w:color w:val="000000"/>
          <w:sz w:val="22"/>
          <w:szCs w:val="22"/>
          <w:lang w:val="en-US"/>
        </w:rPr>
      </w:pPr>
    </w:p>
    <w:p w14:paraId="6B4CCDD6" w14:textId="77777777" w:rsidR="00FE1597" w:rsidRPr="00F75AA3" w:rsidRDefault="00817A47">
      <w:pPr>
        <w:spacing w:line="360" w:lineRule="auto"/>
        <w:jc w:val="both"/>
        <w:rPr>
          <w:b/>
          <w:color w:val="000000"/>
          <w:sz w:val="22"/>
          <w:szCs w:val="22"/>
          <w:lang w:val="en-US"/>
        </w:rPr>
      </w:pPr>
      <w:r w:rsidRPr="00F75AA3">
        <w:rPr>
          <w:b/>
          <w:color w:val="000000"/>
          <w:sz w:val="22"/>
          <w:szCs w:val="22"/>
          <w:lang w:val="en-US"/>
        </w:rPr>
        <w:t>Thematic and practical clusters</w:t>
      </w:r>
    </w:p>
    <w:p w14:paraId="7C818146" w14:textId="77777777" w:rsidR="00FE1597" w:rsidRPr="00F75AA3" w:rsidRDefault="00FE1597">
      <w:pPr>
        <w:spacing w:line="360" w:lineRule="auto"/>
        <w:jc w:val="both"/>
        <w:rPr>
          <w:color w:val="000000"/>
          <w:sz w:val="22"/>
          <w:szCs w:val="22"/>
          <w:highlight w:val="yellow"/>
          <w:lang w:val="en-US"/>
        </w:rPr>
      </w:pPr>
    </w:p>
    <w:p w14:paraId="0F49686C" w14:textId="77777777" w:rsidR="00FE1597" w:rsidRPr="00F75AA3" w:rsidRDefault="00817A47">
      <w:pPr>
        <w:numPr>
          <w:ilvl w:val="0"/>
          <w:numId w:val="3"/>
        </w:numPr>
        <w:pBdr>
          <w:top w:val="nil"/>
          <w:left w:val="nil"/>
          <w:bottom w:val="nil"/>
          <w:right w:val="nil"/>
          <w:between w:val="nil"/>
        </w:pBdr>
        <w:spacing w:line="360" w:lineRule="auto"/>
        <w:jc w:val="both"/>
        <w:rPr>
          <w:b/>
          <w:color w:val="000000"/>
          <w:sz w:val="22"/>
          <w:szCs w:val="22"/>
          <w:lang w:val="en-US"/>
        </w:rPr>
      </w:pPr>
      <w:r w:rsidRPr="00F75AA3">
        <w:rPr>
          <w:b/>
          <w:color w:val="000000"/>
          <w:sz w:val="22"/>
          <w:szCs w:val="22"/>
          <w:lang w:val="en-US"/>
        </w:rPr>
        <w:t>Social and political participation of young people</w:t>
      </w:r>
    </w:p>
    <w:p w14:paraId="0E37B2CE" w14:textId="77777777" w:rsidR="00FE1597" w:rsidRPr="00F75AA3" w:rsidRDefault="00817A47">
      <w:pPr>
        <w:numPr>
          <w:ilvl w:val="0"/>
          <w:numId w:val="3"/>
        </w:numPr>
        <w:pBdr>
          <w:top w:val="nil"/>
          <w:left w:val="nil"/>
          <w:bottom w:val="nil"/>
          <w:right w:val="nil"/>
          <w:between w:val="nil"/>
        </w:pBdr>
        <w:spacing w:line="360" w:lineRule="auto"/>
        <w:jc w:val="both"/>
        <w:rPr>
          <w:b/>
          <w:color w:val="000000"/>
          <w:sz w:val="22"/>
          <w:szCs w:val="22"/>
          <w:lang w:val="en-US"/>
        </w:rPr>
      </w:pPr>
      <w:r w:rsidRPr="00F75AA3">
        <w:rPr>
          <w:b/>
          <w:color w:val="000000"/>
          <w:sz w:val="22"/>
          <w:szCs w:val="22"/>
          <w:lang w:val="en-US"/>
        </w:rPr>
        <w:t>Youth Identities, Cultural Diversity and Cultural Heritage</w:t>
      </w:r>
    </w:p>
    <w:p w14:paraId="09D34BD3" w14:textId="77777777" w:rsidR="00FE1597" w:rsidRPr="00F75AA3" w:rsidRDefault="00817A47">
      <w:pPr>
        <w:numPr>
          <w:ilvl w:val="0"/>
          <w:numId w:val="3"/>
        </w:numPr>
        <w:pBdr>
          <w:top w:val="nil"/>
          <w:left w:val="nil"/>
          <w:bottom w:val="nil"/>
          <w:right w:val="nil"/>
          <w:between w:val="nil"/>
        </w:pBdr>
        <w:spacing w:line="360" w:lineRule="auto"/>
        <w:rPr>
          <w:b/>
          <w:color w:val="000000"/>
          <w:sz w:val="22"/>
          <w:szCs w:val="22"/>
          <w:lang w:val="en-US"/>
        </w:rPr>
      </w:pPr>
      <w:r w:rsidRPr="00F75AA3">
        <w:rPr>
          <w:b/>
          <w:color w:val="000000"/>
          <w:sz w:val="22"/>
          <w:szCs w:val="22"/>
          <w:lang w:val="en-US"/>
        </w:rPr>
        <w:t>Youth, marginalization and the contemporary perma-crisis</w:t>
      </w:r>
    </w:p>
    <w:p w14:paraId="0A109FF8" w14:textId="77777777" w:rsidR="00FE1597" w:rsidRPr="00F75AA3" w:rsidRDefault="00817A47">
      <w:pPr>
        <w:numPr>
          <w:ilvl w:val="0"/>
          <w:numId w:val="3"/>
        </w:numPr>
        <w:pBdr>
          <w:top w:val="nil"/>
          <w:left w:val="nil"/>
          <w:bottom w:val="nil"/>
          <w:right w:val="nil"/>
          <w:between w:val="nil"/>
        </w:pBdr>
        <w:spacing w:line="360" w:lineRule="auto"/>
        <w:rPr>
          <w:b/>
          <w:color w:val="000000"/>
          <w:sz w:val="22"/>
          <w:szCs w:val="22"/>
          <w:lang w:val="en-US"/>
        </w:rPr>
      </w:pPr>
      <w:r w:rsidRPr="00F75AA3">
        <w:rPr>
          <w:b/>
          <w:color w:val="000000"/>
          <w:sz w:val="22"/>
          <w:szCs w:val="22"/>
          <w:lang w:val="en-US"/>
        </w:rPr>
        <w:t xml:space="preserve">Research methodologies in youth studies </w:t>
      </w:r>
    </w:p>
    <w:p w14:paraId="6628DC96" w14:textId="3B59E4AD" w:rsidR="00952417" w:rsidRPr="00F75AA3" w:rsidRDefault="00952417" w:rsidP="00952417">
      <w:pPr>
        <w:spacing w:line="360" w:lineRule="auto"/>
        <w:jc w:val="both"/>
        <w:rPr>
          <w:b/>
          <w:bCs/>
          <w:color w:val="000000"/>
          <w:sz w:val="22"/>
          <w:szCs w:val="22"/>
          <w:lang w:val="en-US"/>
        </w:rPr>
      </w:pPr>
      <w:r w:rsidRPr="00F75AA3">
        <w:rPr>
          <w:b/>
          <w:bCs/>
          <w:color w:val="000000"/>
          <w:sz w:val="22"/>
          <w:szCs w:val="22"/>
          <w:lang w:val="en-US"/>
        </w:rPr>
        <w:t xml:space="preserve">Program coordinator </w:t>
      </w:r>
    </w:p>
    <w:p w14:paraId="311AE165" w14:textId="43B3DCC2" w:rsidR="00FE1597" w:rsidRPr="00F75AA3" w:rsidRDefault="00817A47">
      <w:pPr>
        <w:jc w:val="both"/>
        <w:rPr>
          <w:lang w:val="en-US"/>
        </w:rPr>
      </w:pPr>
      <w:r w:rsidRPr="00F75AA3">
        <w:rPr>
          <w:lang w:val="en-US"/>
        </w:rPr>
        <w:t xml:space="preserve">Leyla Safta-Zecheria is an anthropologist and a pedagogist. She holds a PhD in Political Science/ Public Policy from Central European University Budapest and an MA in European Ethnology from Humboldt University Berlin. She is a lecturer at the Educational </w:t>
      </w:r>
      <w:r w:rsidRPr="00F75AA3">
        <w:rPr>
          <w:lang w:val="en-US"/>
        </w:rPr>
        <w:t xml:space="preserve">Sciences Department, an affiliate of the University Clinic for </w:t>
      </w:r>
      <w:proofErr w:type="spellStart"/>
      <w:r w:rsidRPr="00F75AA3">
        <w:rPr>
          <w:lang w:val="en-US"/>
        </w:rPr>
        <w:t>Psychopedagogical</w:t>
      </w:r>
      <w:proofErr w:type="spellEnd"/>
      <w:r w:rsidRPr="00F75AA3">
        <w:rPr>
          <w:lang w:val="en-US"/>
        </w:rPr>
        <w:t xml:space="preserve"> Therapies and Counselling, West University of </w:t>
      </w:r>
      <w:proofErr w:type="spellStart"/>
      <w:r w:rsidRPr="00F75AA3">
        <w:rPr>
          <w:lang w:val="en-US"/>
        </w:rPr>
        <w:t>Timișoara</w:t>
      </w:r>
      <w:proofErr w:type="spellEnd"/>
      <w:r w:rsidRPr="00F75AA3">
        <w:rPr>
          <w:lang w:val="en-US"/>
        </w:rPr>
        <w:t xml:space="preserve"> , a postdoctoral research with the project "Philosophy in Late Socialist Europe: Theoretical Practices in the Face of </w:t>
      </w:r>
      <w:proofErr w:type="spellStart"/>
      <w:r w:rsidRPr="00F75AA3">
        <w:rPr>
          <w:lang w:val="en-US"/>
        </w:rPr>
        <w:t>P</w:t>
      </w:r>
      <w:r w:rsidRPr="00F75AA3">
        <w:rPr>
          <w:lang w:val="en-US"/>
        </w:rPr>
        <w:t>olycrisis</w:t>
      </w:r>
      <w:proofErr w:type="spellEnd"/>
      <w:r w:rsidRPr="00F75AA3">
        <w:rPr>
          <w:lang w:val="en-US"/>
        </w:rPr>
        <w:t xml:space="preserve">" at the </w:t>
      </w:r>
      <w:proofErr w:type="spellStart"/>
      <w:r w:rsidRPr="00F75AA3">
        <w:rPr>
          <w:lang w:val="en-US"/>
        </w:rPr>
        <w:t>Babeș-Bolyai</w:t>
      </w:r>
      <w:proofErr w:type="spellEnd"/>
      <w:r w:rsidRPr="00F75AA3">
        <w:rPr>
          <w:lang w:val="en-US"/>
        </w:rPr>
        <w:t xml:space="preserve"> University and a Research Affiliate at the Democracy Institute at Central European University Budapest. Her research interests include youth, critical policy studies, disability, care, memory, as well as participatory and vis</w:t>
      </w:r>
      <w:r w:rsidRPr="00F75AA3">
        <w:rPr>
          <w:lang w:val="en-US"/>
        </w:rPr>
        <w:t>ual research methods.</w:t>
      </w:r>
    </w:p>
    <w:p w14:paraId="6F45A4B3" w14:textId="77777777" w:rsidR="00FE1597" w:rsidRPr="00F75AA3" w:rsidRDefault="00FE1597">
      <w:pPr>
        <w:spacing w:line="360" w:lineRule="auto"/>
        <w:rPr>
          <w:b/>
          <w:color w:val="000000"/>
          <w:sz w:val="22"/>
          <w:szCs w:val="22"/>
          <w:lang w:val="en-US"/>
        </w:rPr>
      </w:pPr>
    </w:p>
    <w:p w14:paraId="083C9E27" w14:textId="77777777" w:rsidR="00FE1597" w:rsidRPr="00F75AA3" w:rsidRDefault="00FE1597">
      <w:pPr>
        <w:spacing w:line="360" w:lineRule="auto"/>
        <w:rPr>
          <w:b/>
          <w:color w:val="000000"/>
          <w:sz w:val="22"/>
          <w:szCs w:val="22"/>
          <w:lang w:val="en-US"/>
        </w:rPr>
      </w:pPr>
    </w:p>
    <w:p w14:paraId="188BFB6D" w14:textId="77777777" w:rsidR="00FE1597" w:rsidRPr="00F75AA3" w:rsidRDefault="00817A47">
      <w:pPr>
        <w:spacing w:line="360" w:lineRule="auto"/>
        <w:rPr>
          <w:b/>
          <w:color w:val="000000"/>
          <w:sz w:val="22"/>
          <w:szCs w:val="22"/>
          <w:lang w:val="en-US"/>
        </w:rPr>
      </w:pPr>
      <w:r w:rsidRPr="00F75AA3">
        <w:rPr>
          <w:b/>
          <w:color w:val="000000"/>
          <w:sz w:val="22"/>
          <w:szCs w:val="22"/>
          <w:lang w:val="en-US"/>
        </w:rPr>
        <w:t xml:space="preserve">Program contacts </w:t>
      </w:r>
    </w:p>
    <w:p w14:paraId="4D3937BC" w14:textId="77777777" w:rsidR="00FE1597" w:rsidRPr="00F75AA3" w:rsidRDefault="00FE1597">
      <w:pPr>
        <w:spacing w:line="360" w:lineRule="auto"/>
        <w:rPr>
          <w:b/>
          <w:color w:val="000000"/>
          <w:sz w:val="22"/>
          <w:szCs w:val="22"/>
          <w:lang w:val="en-US"/>
        </w:rPr>
      </w:pPr>
    </w:p>
    <w:p w14:paraId="271C1328" w14:textId="77777777" w:rsidR="00FE1597" w:rsidRPr="00F75AA3" w:rsidRDefault="00817A47">
      <w:pPr>
        <w:spacing w:line="360" w:lineRule="auto"/>
        <w:rPr>
          <w:color w:val="000000"/>
          <w:sz w:val="22"/>
          <w:szCs w:val="22"/>
          <w:lang w:val="en-US"/>
        </w:rPr>
      </w:pPr>
      <w:r w:rsidRPr="00F75AA3">
        <w:rPr>
          <w:color w:val="000000"/>
          <w:sz w:val="22"/>
          <w:szCs w:val="22"/>
          <w:lang w:val="en-US"/>
        </w:rPr>
        <w:t>UVT (host institution):</w:t>
      </w:r>
    </w:p>
    <w:p w14:paraId="7B17BE3E" w14:textId="77777777" w:rsidR="00FE1597" w:rsidRPr="00F75AA3" w:rsidRDefault="00817A47">
      <w:pPr>
        <w:spacing w:line="360" w:lineRule="auto"/>
        <w:rPr>
          <w:color w:val="000000"/>
          <w:sz w:val="22"/>
          <w:szCs w:val="22"/>
          <w:lang w:val="en-US"/>
        </w:rPr>
      </w:pPr>
      <w:r w:rsidRPr="00F75AA3">
        <w:rPr>
          <w:color w:val="000000"/>
          <w:sz w:val="22"/>
          <w:szCs w:val="22"/>
          <w:lang w:val="en-US"/>
        </w:rPr>
        <w:t>Academic coordinator: Leyla Safta-Zecheria (</w:t>
      </w:r>
      <w:hyperlink r:id="rId8">
        <w:r w:rsidRPr="00F75AA3">
          <w:rPr>
            <w:color w:val="0563C1"/>
            <w:sz w:val="22"/>
            <w:szCs w:val="22"/>
            <w:u w:val="single"/>
            <w:lang w:val="en-US"/>
          </w:rPr>
          <w:t>leyla.safta@e-uvt.ro</w:t>
        </w:r>
      </w:hyperlink>
      <w:r w:rsidRPr="00F75AA3">
        <w:rPr>
          <w:color w:val="000000"/>
          <w:sz w:val="22"/>
          <w:szCs w:val="22"/>
          <w:lang w:val="en-US"/>
        </w:rPr>
        <w:t>)</w:t>
      </w:r>
    </w:p>
    <w:p w14:paraId="58EA531F" w14:textId="77777777" w:rsidR="00FE1597" w:rsidRPr="00F75AA3" w:rsidRDefault="00817A47">
      <w:pPr>
        <w:spacing w:line="360" w:lineRule="auto"/>
        <w:rPr>
          <w:color w:val="000000"/>
          <w:sz w:val="22"/>
          <w:szCs w:val="22"/>
          <w:lang w:val="en-US"/>
        </w:rPr>
      </w:pPr>
      <w:r w:rsidRPr="00F75AA3">
        <w:rPr>
          <w:color w:val="000000"/>
          <w:sz w:val="22"/>
          <w:szCs w:val="22"/>
          <w:lang w:val="en-US"/>
        </w:rPr>
        <w:t xml:space="preserve">Institutional contact for Erasmus partnerships: Cristina </w:t>
      </w:r>
      <w:proofErr w:type="spellStart"/>
      <w:r w:rsidRPr="00F75AA3">
        <w:rPr>
          <w:color w:val="000000"/>
          <w:sz w:val="22"/>
          <w:szCs w:val="22"/>
          <w:lang w:val="en-US"/>
        </w:rPr>
        <w:t>Cojocaru</w:t>
      </w:r>
      <w:proofErr w:type="spellEnd"/>
      <w:r w:rsidRPr="00F75AA3">
        <w:rPr>
          <w:color w:val="000000"/>
          <w:sz w:val="22"/>
          <w:szCs w:val="22"/>
          <w:lang w:val="en-US"/>
        </w:rPr>
        <w:t xml:space="preserve"> (</w:t>
      </w:r>
      <w:hyperlink r:id="rId9">
        <w:r w:rsidRPr="00F75AA3">
          <w:rPr>
            <w:color w:val="0563C1"/>
            <w:sz w:val="22"/>
            <w:szCs w:val="22"/>
            <w:u w:val="single"/>
            <w:lang w:val="en-US"/>
          </w:rPr>
          <w:t>cristina.cojocaru@e-uvt.ro</w:t>
        </w:r>
      </w:hyperlink>
      <w:r w:rsidRPr="00F75AA3">
        <w:rPr>
          <w:color w:val="000000"/>
          <w:sz w:val="22"/>
          <w:szCs w:val="22"/>
          <w:lang w:val="en-US"/>
        </w:rPr>
        <w:t xml:space="preserve">) </w:t>
      </w:r>
    </w:p>
    <w:p w14:paraId="3083BD2E" w14:textId="77777777" w:rsidR="00FE1597" w:rsidRPr="00F75AA3" w:rsidRDefault="00817A47">
      <w:pPr>
        <w:spacing w:line="360" w:lineRule="auto"/>
        <w:rPr>
          <w:color w:val="000000"/>
          <w:sz w:val="22"/>
          <w:szCs w:val="22"/>
          <w:lang w:val="en-US"/>
        </w:rPr>
      </w:pPr>
      <w:r w:rsidRPr="00F75AA3">
        <w:rPr>
          <w:color w:val="000000"/>
          <w:sz w:val="22"/>
          <w:szCs w:val="22"/>
          <w:lang w:val="en-US"/>
        </w:rPr>
        <w:t>Institutional contact for short-term Erasmus mobilities: Bianca Bekir (</w:t>
      </w:r>
      <w:hyperlink r:id="rId10">
        <w:r w:rsidRPr="00F75AA3">
          <w:rPr>
            <w:color w:val="0563C1"/>
            <w:sz w:val="22"/>
            <w:szCs w:val="22"/>
            <w:u w:val="single"/>
            <w:lang w:val="en-US"/>
          </w:rPr>
          <w:t>bianca.moldovan@e-uvt.ro</w:t>
        </w:r>
      </w:hyperlink>
      <w:r w:rsidRPr="00F75AA3">
        <w:rPr>
          <w:color w:val="000000"/>
          <w:sz w:val="22"/>
          <w:szCs w:val="22"/>
          <w:lang w:val="en-US"/>
        </w:rPr>
        <w:t xml:space="preserve">)  </w:t>
      </w:r>
    </w:p>
    <w:p w14:paraId="48FD5D49" w14:textId="77777777" w:rsidR="00FE1597" w:rsidRPr="00F75AA3" w:rsidRDefault="00FE1597">
      <w:pPr>
        <w:spacing w:line="360" w:lineRule="auto"/>
        <w:rPr>
          <w:color w:val="000000"/>
          <w:sz w:val="22"/>
          <w:szCs w:val="22"/>
          <w:lang w:val="en-US"/>
        </w:rPr>
      </w:pPr>
    </w:p>
    <w:p w14:paraId="3AF08F9D" w14:textId="77777777" w:rsidR="00FE1597" w:rsidRPr="00F75AA3" w:rsidRDefault="00817A47">
      <w:pPr>
        <w:spacing w:line="360" w:lineRule="auto"/>
        <w:rPr>
          <w:color w:val="000000"/>
          <w:sz w:val="22"/>
          <w:szCs w:val="22"/>
          <w:lang w:val="en-US"/>
        </w:rPr>
      </w:pPr>
      <w:r w:rsidRPr="00F75AA3">
        <w:rPr>
          <w:color w:val="000000"/>
          <w:sz w:val="22"/>
          <w:szCs w:val="22"/>
          <w:lang w:val="en-US"/>
        </w:rPr>
        <w:t xml:space="preserve">Faculty contacts by institution + institutional contacts by institution: </w:t>
      </w:r>
    </w:p>
    <w:p w14:paraId="39C24890" w14:textId="77777777" w:rsidR="00FE1597" w:rsidRPr="00F75AA3" w:rsidRDefault="00FE1597">
      <w:pPr>
        <w:spacing w:line="360" w:lineRule="auto"/>
        <w:rPr>
          <w:color w:val="000000"/>
          <w:sz w:val="22"/>
          <w:szCs w:val="22"/>
          <w:lang w:val="en-US"/>
        </w:rPr>
        <w:sectPr w:rsidR="00FE1597" w:rsidRPr="00F75AA3" w:rsidSect="002346F8">
          <w:footerReference w:type="even" r:id="rId11"/>
          <w:footerReference w:type="default" r:id="rId12"/>
          <w:pgSz w:w="11900" w:h="16840"/>
          <w:pgMar w:top="1440" w:right="1440" w:bottom="1440" w:left="1440" w:header="708" w:footer="708" w:gutter="0"/>
          <w:pgNumType w:start="1"/>
          <w:cols w:space="720"/>
        </w:sectPr>
      </w:pPr>
    </w:p>
    <w:p w14:paraId="6D667D93" w14:textId="77777777" w:rsidR="00FE1597" w:rsidRPr="00F75AA3" w:rsidRDefault="00817A47">
      <w:pPr>
        <w:rPr>
          <w:lang w:val="en-US"/>
        </w:rPr>
      </w:pPr>
      <w:r w:rsidRPr="00F75AA3">
        <w:rPr>
          <w:lang w:val="en-US"/>
        </w:rPr>
        <w:t>Program of the face to face component (10-15.July.2024)</w:t>
      </w:r>
    </w:p>
    <w:tbl>
      <w:tblPr>
        <w:tblStyle w:val="a"/>
        <w:tblW w:w="13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2189"/>
        <w:gridCol w:w="2192"/>
        <w:gridCol w:w="2229"/>
        <w:gridCol w:w="2190"/>
        <w:gridCol w:w="2226"/>
        <w:gridCol w:w="1936"/>
      </w:tblGrid>
      <w:tr w:rsidR="00FE1597" w:rsidRPr="00F75AA3" w14:paraId="06802C85" w14:textId="77777777">
        <w:trPr>
          <w:trHeight w:val="404"/>
        </w:trPr>
        <w:tc>
          <w:tcPr>
            <w:tcW w:w="988" w:type="dxa"/>
          </w:tcPr>
          <w:p w14:paraId="0FEC5243" w14:textId="77777777" w:rsidR="00FE1597" w:rsidRPr="00F75AA3" w:rsidRDefault="00FE1597">
            <w:pPr>
              <w:pBdr>
                <w:top w:val="nil"/>
                <w:left w:val="nil"/>
                <w:bottom w:val="nil"/>
                <w:right w:val="nil"/>
                <w:between w:val="nil"/>
              </w:pBdr>
              <w:jc w:val="both"/>
              <w:rPr>
                <w:color w:val="000000"/>
                <w:sz w:val="20"/>
                <w:szCs w:val="20"/>
                <w:lang w:val="en-US"/>
              </w:rPr>
            </w:pPr>
          </w:p>
        </w:tc>
        <w:tc>
          <w:tcPr>
            <w:tcW w:w="2189" w:type="dxa"/>
          </w:tcPr>
          <w:p w14:paraId="781C9081"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10.07</w:t>
            </w:r>
          </w:p>
        </w:tc>
        <w:tc>
          <w:tcPr>
            <w:tcW w:w="2192" w:type="dxa"/>
          </w:tcPr>
          <w:p w14:paraId="7AE09F98"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11.07</w:t>
            </w:r>
          </w:p>
        </w:tc>
        <w:tc>
          <w:tcPr>
            <w:tcW w:w="2229" w:type="dxa"/>
          </w:tcPr>
          <w:p w14:paraId="16577871"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12.07</w:t>
            </w:r>
          </w:p>
        </w:tc>
        <w:tc>
          <w:tcPr>
            <w:tcW w:w="2190" w:type="dxa"/>
          </w:tcPr>
          <w:p w14:paraId="34B44205"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13.07</w:t>
            </w:r>
          </w:p>
        </w:tc>
        <w:tc>
          <w:tcPr>
            <w:tcW w:w="2226" w:type="dxa"/>
          </w:tcPr>
          <w:p w14:paraId="025591C9"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14.07</w:t>
            </w:r>
          </w:p>
        </w:tc>
        <w:tc>
          <w:tcPr>
            <w:tcW w:w="1936" w:type="dxa"/>
          </w:tcPr>
          <w:p w14:paraId="27C688F0"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15.07.</w:t>
            </w:r>
          </w:p>
        </w:tc>
      </w:tr>
      <w:tr w:rsidR="00FE1597" w:rsidRPr="00F75AA3" w14:paraId="5A4BFDEC" w14:textId="77777777">
        <w:tc>
          <w:tcPr>
            <w:tcW w:w="988" w:type="dxa"/>
          </w:tcPr>
          <w:p w14:paraId="7E389FD0"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09.00 – 10.30</w:t>
            </w:r>
          </w:p>
        </w:tc>
        <w:tc>
          <w:tcPr>
            <w:tcW w:w="2189" w:type="dxa"/>
          </w:tcPr>
          <w:p w14:paraId="5D57E2ED" w14:textId="77777777" w:rsidR="00FE1597" w:rsidRPr="00F75AA3" w:rsidRDefault="00FE1597">
            <w:pPr>
              <w:pBdr>
                <w:top w:val="nil"/>
                <w:left w:val="nil"/>
                <w:bottom w:val="nil"/>
                <w:right w:val="nil"/>
                <w:between w:val="nil"/>
              </w:pBdr>
              <w:jc w:val="both"/>
              <w:rPr>
                <w:color w:val="000000"/>
                <w:sz w:val="20"/>
                <w:szCs w:val="20"/>
                <w:lang w:val="en-US"/>
              </w:rPr>
            </w:pPr>
          </w:p>
        </w:tc>
        <w:tc>
          <w:tcPr>
            <w:tcW w:w="2192" w:type="dxa"/>
          </w:tcPr>
          <w:p w14:paraId="0FA97B63"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Expectations, Getting to know each other. </w:t>
            </w:r>
          </w:p>
          <w:p w14:paraId="73EF3DE8" w14:textId="05E2D914"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Presentation of clusters and modules.</w:t>
            </w:r>
            <w:r w:rsidR="00AD5B4D" w:rsidRPr="00F75AA3">
              <w:rPr>
                <w:color w:val="000000"/>
                <w:sz w:val="20"/>
                <w:szCs w:val="20"/>
                <w:lang w:val="en-US"/>
              </w:rPr>
              <w:t xml:space="preserve"> (</w:t>
            </w:r>
            <w:proofErr w:type="spellStart"/>
            <w:r w:rsidR="00AD5B4D" w:rsidRPr="00F75AA3">
              <w:rPr>
                <w:color w:val="000000"/>
                <w:sz w:val="20"/>
                <w:szCs w:val="20"/>
                <w:lang w:val="en-US"/>
              </w:rPr>
              <w:t>Vasile</w:t>
            </w:r>
            <w:proofErr w:type="spellEnd"/>
            <w:r w:rsidR="00AD5B4D" w:rsidRPr="00F75AA3">
              <w:rPr>
                <w:color w:val="000000"/>
                <w:sz w:val="20"/>
                <w:szCs w:val="20"/>
                <w:lang w:val="en-US"/>
              </w:rPr>
              <w:t xml:space="preserve"> </w:t>
            </w:r>
            <w:proofErr w:type="spellStart"/>
            <w:r w:rsidR="00AD5B4D" w:rsidRPr="00F75AA3">
              <w:rPr>
                <w:color w:val="000000"/>
                <w:sz w:val="20"/>
                <w:szCs w:val="20"/>
                <w:lang w:val="en-US"/>
              </w:rPr>
              <w:t>Parvan</w:t>
            </w:r>
            <w:proofErr w:type="spellEnd"/>
            <w:r w:rsidR="00AD5B4D" w:rsidRPr="00F75AA3">
              <w:rPr>
                <w:color w:val="000000"/>
                <w:sz w:val="20"/>
                <w:szCs w:val="20"/>
                <w:lang w:val="en-US"/>
              </w:rPr>
              <w:t xml:space="preserve"> </w:t>
            </w:r>
            <w:proofErr w:type="spellStart"/>
            <w:r w:rsidR="00AD5B4D" w:rsidRPr="00F75AA3">
              <w:rPr>
                <w:color w:val="000000"/>
                <w:sz w:val="20"/>
                <w:szCs w:val="20"/>
                <w:lang w:val="en-US"/>
              </w:rPr>
              <w:t>blvd.</w:t>
            </w:r>
            <w:proofErr w:type="spellEnd"/>
            <w:r w:rsidR="00AD5B4D" w:rsidRPr="00F75AA3">
              <w:rPr>
                <w:color w:val="000000"/>
                <w:sz w:val="20"/>
                <w:szCs w:val="20"/>
                <w:lang w:val="en-US"/>
              </w:rPr>
              <w:t xml:space="preserve"> Nr 4, 335)</w:t>
            </w:r>
          </w:p>
        </w:tc>
        <w:tc>
          <w:tcPr>
            <w:tcW w:w="2229" w:type="dxa"/>
          </w:tcPr>
          <w:p w14:paraId="3C26EF48" w14:textId="7614CBD3"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Cluster 2 (II): Youth Identities, Cultural Diversity and Cultural Heritage </w:t>
            </w:r>
            <w:r w:rsidR="00AD5B4D" w:rsidRPr="00F75AA3">
              <w:rPr>
                <w:color w:val="000000"/>
                <w:sz w:val="20"/>
                <w:szCs w:val="20"/>
                <w:lang w:val="en-US"/>
              </w:rPr>
              <w:t xml:space="preserve"> (335)</w:t>
            </w:r>
          </w:p>
          <w:p w14:paraId="3CB67CB1" w14:textId="77777777" w:rsidR="00FE1597" w:rsidRPr="00F75AA3" w:rsidRDefault="00FE1597">
            <w:pPr>
              <w:pBdr>
                <w:top w:val="nil"/>
                <w:left w:val="nil"/>
                <w:bottom w:val="nil"/>
                <w:right w:val="nil"/>
                <w:between w:val="nil"/>
              </w:pBdr>
              <w:jc w:val="both"/>
              <w:rPr>
                <w:color w:val="000000"/>
                <w:sz w:val="20"/>
                <w:szCs w:val="20"/>
                <w:lang w:val="en-US"/>
              </w:rPr>
            </w:pPr>
          </w:p>
        </w:tc>
        <w:tc>
          <w:tcPr>
            <w:tcW w:w="2190" w:type="dxa"/>
          </w:tcPr>
          <w:p w14:paraId="3FDA5C7B" w14:textId="1D9A29DC"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Cluster 1 (II):  Social,</w:t>
            </w:r>
            <w:r w:rsidRPr="00F75AA3">
              <w:rPr>
                <w:color w:val="000000"/>
                <w:sz w:val="20"/>
                <w:szCs w:val="20"/>
                <w:lang w:val="en-US"/>
              </w:rPr>
              <w:t xml:space="preserve"> political and civic participation of young people</w:t>
            </w:r>
            <w:r w:rsidR="00AD5B4D" w:rsidRPr="00F75AA3">
              <w:rPr>
                <w:color w:val="000000"/>
                <w:sz w:val="20"/>
                <w:szCs w:val="20"/>
                <w:lang w:val="en-US"/>
              </w:rPr>
              <w:t xml:space="preserve"> (335)</w:t>
            </w:r>
          </w:p>
        </w:tc>
        <w:tc>
          <w:tcPr>
            <w:tcW w:w="2226" w:type="dxa"/>
          </w:tcPr>
          <w:p w14:paraId="371AADC8" w14:textId="16B0AFCC"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Cluster 3 (II):  Youth, marginalization and the contemporary perma-crisis </w:t>
            </w:r>
            <w:r w:rsidR="00AD5B4D" w:rsidRPr="00F75AA3">
              <w:rPr>
                <w:color w:val="000000"/>
                <w:sz w:val="20"/>
                <w:szCs w:val="20"/>
                <w:lang w:val="en-US"/>
              </w:rPr>
              <w:t xml:space="preserve"> (335)</w:t>
            </w:r>
          </w:p>
        </w:tc>
        <w:tc>
          <w:tcPr>
            <w:tcW w:w="1936" w:type="dxa"/>
          </w:tcPr>
          <w:p w14:paraId="158995FE" w14:textId="2AE531B6"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Workshopping project ideas in thematic clusters</w:t>
            </w:r>
            <w:r w:rsidR="00AD5B4D" w:rsidRPr="00F75AA3">
              <w:rPr>
                <w:color w:val="000000"/>
                <w:sz w:val="20"/>
                <w:szCs w:val="20"/>
                <w:lang w:val="en-US"/>
              </w:rPr>
              <w:t xml:space="preserve"> (335)</w:t>
            </w:r>
          </w:p>
        </w:tc>
      </w:tr>
      <w:tr w:rsidR="00FE1597" w:rsidRPr="00F75AA3" w14:paraId="01781D1F" w14:textId="77777777">
        <w:tc>
          <w:tcPr>
            <w:tcW w:w="988" w:type="dxa"/>
          </w:tcPr>
          <w:p w14:paraId="30593FF8"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10.30 – 11.00</w:t>
            </w:r>
          </w:p>
        </w:tc>
        <w:tc>
          <w:tcPr>
            <w:tcW w:w="2189" w:type="dxa"/>
          </w:tcPr>
          <w:p w14:paraId="6AF7E2E2" w14:textId="77777777" w:rsidR="00FE1597" w:rsidRPr="00F75AA3" w:rsidRDefault="00FE1597">
            <w:pPr>
              <w:pBdr>
                <w:top w:val="nil"/>
                <w:left w:val="nil"/>
                <w:bottom w:val="nil"/>
                <w:right w:val="nil"/>
                <w:between w:val="nil"/>
              </w:pBdr>
              <w:jc w:val="both"/>
              <w:rPr>
                <w:color w:val="000000"/>
                <w:sz w:val="20"/>
                <w:szCs w:val="20"/>
                <w:lang w:val="en-US"/>
              </w:rPr>
            </w:pPr>
          </w:p>
        </w:tc>
        <w:tc>
          <w:tcPr>
            <w:tcW w:w="2192" w:type="dxa"/>
          </w:tcPr>
          <w:p w14:paraId="42C7F77B"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Coffee break</w:t>
            </w:r>
          </w:p>
        </w:tc>
        <w:tc>
          <w:tcPr>
            <w:tcW w:w="2229" w:type="dxa"/>
          </w:tcPr>
          <w:p w14:paraId="0C6DFB6F"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Coffee break</w:t>
            </w:r>
          </w:p>
        </w:tc>
        <w:tc>
          <w:tcPr>
            <w:tcW w:w="2190" w:type="dxa"/>
          </w:tcPr>
          <w:p w14:paraId="72538B51"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Coffee break</w:t>
            </w:r>
          </w:p>
        </w:tc>
        <w:tc>
          <w:tcPr>
            <w:tcW w:w="2226" w:type="dxa"/>
          </w:tcPr>
          <w:p w14:paraId="0A1492E6"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Coffee </w:t>
            </w:r>
            <w:r w:rsidRPr="00F75AA3">
              <w:rPr>
                <w:color w:val="000000"/>
                <w:sz w:val="20"/>
                <w:szCs w:val="20"/>
                <w:lang w:val="en-US"/>
              </w:rPr>
              <w:t>break</w:t>
            </w:r>
          </w:p>
        </w:tc>
        <w:tc>
          <w:tcPr>
            <w:tcW w:w="1936" w:type="dxa"/>
          </w:tcPr>
          <w:p w14:paraId="52542765"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Coffee break</w:t>
            </w:r>
          </w:p>
        </w:tc>
      </w:tr>
      <w:tr w:rsidR="00FE1597" w:rsidRPr="00F75AA3" w14:paraId="38A436B2" w14:textId="77777777">
        <w:tc>
          <w:tcPr>
            <w:tcW w:w="988" w:type="dxa"/>
          </w:tcPr>
          <w:p w14:paraId="7801D00D"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11.00 – 12.30 </w:t>
            </w:r>
          </w:p>
        </w:tc>
        <w:tc>
          <w:tcPr>
            <w:tcW w:w="2189" w:type="dxa"/>
          </w:tcPr>
          <w:p w14:paraId="78977FDA" w14:textId="77777777" w:rsidR="00FE1597" w:rsidRPr="00F75AA3" w:rsidRDefault="00FE1597">
            <w:pPr>
              <w:pBdr>
                <w:top w:val="nil"/>
                <w:left w:val="nil"/>
                <w:bottom w:val="nil"/>
                <w:right w:val="nil"/>
                <w:between w:val="nil"/>
              </w:pBdr>
              <w:jc w:val="both"/>
              <w:rPr>
                <w:color w:val="000000"/>
                <w:sz w:val="20"/>
                <w:szCs w:val="20"/>
                <w:lang w:val="en-US"/>
              </w:rPr>
            </w:pPr>
          </w:p>
        </w:tc>
        <w:tc>
          <w:tcPr>
            <w:tcW w:w="2192" w:type="dxa"/>
          </w:tcPr>
          <w:p w14:paraId="6710C09C" w14:textId="195D0001"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Cluster 2 (I): Youth Identities, Cultural Diversity and Cultural Heritage </w:t>
            </w:r>
            <w:r w:rsidR="00AD5B4D" w:rsidRPr="00F75AA3">
              <w:rPr>
                <w:color w:val="000000"/>
                <w:sz w:val="20"/>
                <w:szCs w:val="20"/>
                <w:lang w:val="en-US"/>
              </w:rPr>
              <w:t>(335)</w:t>
            </w:r>
          </w:p>
          <w:p w14:paraId="08BA089A" w14:textId="77777777" w:rsidR="00FE1597" w:rsidRPr="00F75AA3" w:rsidRDefault="00FE1597">
            <w:pPr>
              <w:pBdr>
                <w:top w:val="nil"/>
                <w:left w:val="nil"/>
                <w:bottom w:val="nil"/>
                <w:right w:val="nil"/>
                <w:between w:val="nil"/>
              </w:pBdr>
              <w:jc w:val="both"/>
              <w:rPr>
                <w:color w:val="000000"/>
                <w:sz w:val="20"/>
                <w:szCs w:val="20"/>
                <w:lang w:val="en-US"/>
              </w:rPr>
            </w:pPr>
          </w:p>
        </w:tc>
        <w:tc>
          <w:tcPr>
            <w:tcW w:w="2229" w:type="dxa"/>
          </w:tcPr>
          <w:p w14:paraId="63E8ACF2" w14:textId="3599F89D"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 Cluster 1 (I): Social, political and civic participation of young people</w:t>
            </w:r>
            <w:r w:rsidR="00AD5B4D" w:rsidRPr="00F75AA3">
              <w:rPr>
                <w:color w:val="000000"/>
                <w:sz w:val="20"/>
                <w:szCs w:val="20"/>
                <w:lang w:val="en-US"/>
              </w:rPr>
              <w:t xml:space="preserve"> (335)</w:t>
            </w:r>
          </w:p>
        </w:tc>
        <w:tc>
          <w:tcPr>
            <w:tcW w:w="2190" w:type="dxa"/>
          </w:tcPr>
          <w:p w14:paraId="703FB82C" w14:textId="69A630BB"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Cluster 3 (I):  Youth, marginalization and the contemporary</w:t>
            </w:r>
            <w:r w:rsidRPr="00F75AA3">
              <w:rPr>
                <w:color w:val="000000"/>
                <w:sz w:val="20"/>
                <w:szCs w:val="20"/>
                <w:lang w:val="en-US"/>
              </w:rPr>
              <w:t xml:space="preserve"> perma-crisis</w:t>
            </w:r>
            <w:r w:rsidR="00AD5B4D" w:rsidRPr="00F75AA3">
              <w:rPr>
                <w:color w:val="000000"/>
                <w:sz w:val="20"/>
                <w:szCs w:val="20"/>
                <w:lang w:val="en-US"/>
              </w:rPr>
              <w:t xml:space="preserve"> (335)</w:t>
            </w:r>
          </w:p>
        </w:tc>
        <w:tc>
          <w:tcPr>
            <w:tcW w:w="2226" w:type="dxa"/>
          </w:tcPr>
          <w:p w14:paraId="57895E47" w14:textId="1E43E244"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Cluster 4: Research Methodologies in Youth Studies</w:t>
            </w:r>
            <w:r w:rsidR="00AD5B4D" w:rsidRPr="00F75AA3">
              <w:rPr>
                <w:color w:val="000000"/>
                <w:sz w:val="20"/>
                <w:szCs w:val="20"/>
                <w:lang w:val="en-US"/>
              </w:rPr>
              <w:t xml:space="preserve"> (335)</w:t>
            </w:r>
          </w:p>
        </w:tc>
        <w:tc>
          <w:tcPr>
            <w:tcW w:w="1936" w:type="dxa"/>
          </w:tcPr>
          <w:p w14:paraId="4BF2B205" w14:textId="292B84C4"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Mentoring session: thematic clusters convene, student groups receive feedback from mentors</w:t>
            </w:r>
            <w:r w:rsidR="00AD5B4D" w:rsidRPr="00F75AA3">
              <w:rPr>
                <w:color w:val="000000"/>
                <w:sz w:val="20"/>
                <w:szCs w:val="20"/>
                <w:lang w:val="en-US"/>
              </w:rPr>
              <w:t xml:space="preserve"> (335)</w:t>
            </w:r>
          </w:p>
        </w:tc>
      </w:tr>
      <w:tr w:rsidR="00FE1597" w:rsidRPr="00F75AA3" w14:paraId="0D0FC60F" w14:textId="77777777">
        <w:tc>
          <w:tcPr>
            <w:tcW w:w="988" w:type="dxa"/>
          </w:tcPr>
          <w:p w14:paraId="0ED30C14"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12.30 – 14.30</w:t>
            </w:r>
          </w:p>
        </w:tc>
        <w:tc>
          <w:tcPr>
            <w:tcW w:w="2189" w:type="dxa"/>
          </w:tcPr>
          <w:p w14:paraId="518324B2" w14:textId="77777777" w:rsidR="00FE1597" w:rsidRPr="00F75AA3" w:rsidRDefault="00FE1597">
            <w:pPr>
              <w:pBdr>
                <w:top w:val="nil"/>
                <w:left w:val="nil"/>
                <w:bottom w:val="nil"/>
                <w:right w:val="nil"/>
                <w:between w:val="nil"/>
              </w:pBdr>
              <w:jc w:val="both"/>
              <w:rPr>
                <w:color w:val="000000"/>
                <w:sz w:val="20"/>
                <w:szCs w:val="20"/>
                <w:lang w:val="en-US"/>
              </w:rPr>
            </w:pPr>
          </w:p>
        </w:tc>
        <w:tc>
          <w:tcPr>
            <w:tcW w:w="2192" w:type="dxa"/>
          </w:tcPr>
          <w:p w14:paraId="2F239ACE"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Lunch break</w:t>
            </w:r>
          </w:p>
        </w:tc>
        <w:tc>
          <w:tcPr>
            <w:tcW w:w="2229" w:type="dxa"/>
          </w:tcPr>
          <w:p w14:paraId="03F69806"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Lunch break</w:t>
            </w:r>
          </w:p>
        </w:tc>
        <w:tc>
          <w:tcPr>
            <w:tcW w:w="2190" w:type="dxa"/>
          </w:tcPr>
          <w:p w14:paraId="2632C0B9"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Lunch break</w:t>
            </w:r>
          </w:p>
        </w:tc>
        <w:tc>
          <w:tcPr>
            <w:tcW w:w="2226" w:type="dxa"/>
          </w:tcPr>
          <w:p w14:paraId="041848EF"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Lunch break</w:t>
            </w:r>
          </w:p>
        </w:tc>
        <w:tc>
          <w:tcPr>
            <w:tcW w:w="1936" w:type="dxa"/>
          </w:tcPr>
          <w:p w14:paraId="32B2B67E"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Lunch break</w:t>
            </w:r>
          </w:p>
        </w:tc>
      </w:tr>
      <w:tr w:rsidR="00FE1597" w:rsidRPr="00F75AA3" w14:paraId="587DCEEE" w14:textId="77777777">
        <w:tc>
          <w:tcPr>
            <w:tcW w:w="988" w:type="dxa"/>
          </w:tcPr>
          <w:p w14:paraId="312DEF76"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14.30</w:t>
            </w:r>
            <w:r w:rsidRPr="00F75AA3">
              <w:rPr>
                <w:color w:val="000000"/>
                <w:sz w:val="20"/>
                <w:szCs w:val="20"/>
                <w:lang w:val="en-US"/>
              </w:rPr>
              <w:t xml:space="preserve"> – 16.00</w:t>
            </w:r>
          </w:p>
        </w:tc>
        <w:tc>
          <w:tcPr>
            <w:tcW w:w="2189" w:type="dxa"/>
          </w:tcPr>
          <w:p w14:paraId="4A485CAE" w14:textId="6E612A71"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Official opening of the BIP</w:t>
            </w:r>
            <w:r w:rsidR="00AD5B4D" w:rsidRPr="00F75AA3">
              <w:rPr>
                <w:color w:val="000000"/>
                <w:sz w:val="20"/>
                <w:szCs w:val="20"/>
                <w:lang w:val="en-US"/>
              </w:rPr>
              <w:t xml:space="preserve"> (</w:t>
            </w:r>
            <w:proofErr w:type="spellStart"/>
            <w:r w:rsidR="00AD5B4D" w:rsidRPr="00F75AA3">
              <w:rPr>
                <w:color w:val="000000"/>
                <w:sz w:val="20"/>
                <w:szCs w:val="20"/>
                <w:lang w:val="en-US"/>
              </w:rPr>
              <w:t>tbd</w:t>
            </w:r>
            <w:proofErr w:type="spellEnd"/>
            <w:r w:rsidR="00AD5B4D" w:rsidRPr="00F75AA3">
              <w:rPr>
                <w:color w:val="000000"/>
                <w:sz w:val="20"/>
                <w:szCs w:val="20"/>
                <w:lang w:val="en-US"/>
              </w:rPr>
              <w:t>)</w:t>
            </w:r>
          </w:p>
        </w:tc>
        <w:tc>
          <w:tcPr>
            <w:tcW w:w="2192" w:type="dxa"/>
          </w:tcPr>
          <w:p w14:paraId="55185EBE"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Field visit Cluster 2</w:t>
            </w:r>
          </w:p>
        </w:tc>
        <w:tc>
          <w:tcPr>
            <w:tcW w:w="2229" w:type="dxa"/>
          </w:tcPr>
          <w:p w14:paraId="22F78F91"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Field visit Cluster 1</w:t>
            </w:r>
          </w:p>
        </w:tc>
        <w:tc>
          <w:tcPr>
            <w:tcW w:w="2190" w:type="dxa"/>
          </w:tcPr>
          <w:p w14:paraId="0E4B80C6"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Field visit Cluster 3</w:t>
            </w:r>
          </w:p>
        </w:tc>
        <w:tc>
          <w:tcPr>
            <w:tcW w:w="2226" w:type="dxa"/>
          </w:tcPr>
          <w:p w14:paraId="0197F045" w14:textId="77777777"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Application in cluster 4 + city tour </w:t>
            </w:r>
          </w:p>
        </w:tc>
        <w:tc>
          <w:tcPr>
            <w:tcW w:w="1936" w:type="dxa"/>
          </w:tcPr>
          <w:p w14:paraId="3CE92D5B" w14:textId="0EBF733B" w:rsidR="00FE1597" w:rsidRPr="00F75AA3" w:rsidRDefault="00817A47">
            <w:pPr>
              <w:pBdr>
                <w:top w:val="nil"/>
                <w:left w:val="nil"/>
                <w:bottom w:val="nil"/>
                <w:right w:val="nil"/>
                <w:between w:val="nil"/>
              </w:pBdr>
              <w:jc w:val="both"/>
              <w:rPr>
                <w:color w:val="000000"/>
                <w:sz w:val="20"/>
                <w:szCs w:val="20"/>
                <w:lang w:val="en-US"/>
              </w:rPr>
            </w:pPr>
            <w:r w:rsidRPr="00F75AA3">
              <w:rPr>
                <w:color w:val="000000"/>
                <w:sz w:val="20"/>
                <w:szCs w:val="20"/>
                <w:lang w:val="en-US"/>
              </w:rPr>
              <w:t xml:space="preserve">Final feedback from participants </w:t>
            </w:r>
            <w:r w:rsidR="00AD5B4D" w:rsidRPr="00F75AA3">
              <w:rPr>
                <w:color w:val="000000"/>
                <w:sz w:val="20"/>
                <w:szCs w:val="20"/>
                <w:lang w:val="en-US"/>
              </w:rPr>
              <w:t>(335)</w:t>
            </w:r>
          </w:p>
        </w:tc>
      </w:tr>
    </w:tbl>
    <w:p w14:paraId="6D7861B7" w14:textId="77777777" w:rsidR="00FE1597" w:rsidRPr="00F75AA3" w:rsidRDefault="00FE1597">
      <w:pPr>
        <w:spacing w:line="360" w:lineRule="auto"/>
        <w:rPr>
          <w:sz w:val="22"/>
          <w:szCs w:val="22"/>
          <w:lang w:val="en-US"/>
        </w:rPr>
      </w:pPr>
    </w:p>
    <w:p w14:paraId="50100B0C" w14:textId="19E544E3" w:rsidR="00FE1597" w:rsidRPr="00F75AA3" w:rsidRDefault="00FE1597">
      <w:pPr>
        <w:spacing w:line="360" w:lineRule="auto"/>
        <w:rPr>
          <w:sz w:val="22"/>
          <w:szCs w:val="22"/>
          <w:lang w:val="en-US"/>
        </w:rPr>
      </w:pPr>
    </w:p>
    <w:sectPr w:rsidR="00FE1597" w:rsidRPr="00F75AA3">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43B4" w14:textId="77777777" w:rsidR="00817A47" w:rsidRDefault="00817A47">
      <w:r>
        <w:separator/>
      </w:r>
    </w:p>
  </w:endnote>
  <w:endnote w:type="continuationSeparator" w:id="0">
    <w:p w14:paraId="1B3D9B38" w14:textId="77777777" w:rsidR="00817A47" w:rsidRDefault="0081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9DB0" w14:textId="77777777" w:rsidR="00FE1597" w:rsidRDefault="00817A4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2B674F24" w14:textId="77777777" w:rsidR="00FE1597" w:rsidRDefault="00FE159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2614" w14:textId="77777777" w:rsidR="00FE1597" w:rsidRDefault="00817A4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A350C">
      <w:rPr>
        <w:noProof/>
        <w:color w:val="000000"/>
      </w:rPr>
      <w:t>1</w:t>
    </w:r>
    <w:r>
      <w:rPr>
        <w:color w:val="000000"/>
      </w:rPr>
      <w:fldChar w:fldCharType="end"/>
    </w:r>
  </w:p>
  <w:p w14:paraId="5991B2F1" w14:textId="77777777" w:rsidR="00FE1597" w:rsidRDefault="00FE159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800A" w14:textId="77777777" w:rsidR="00817A47" w:rsidRDefault="00817A47">
      <w:r>
        <w:separator/>
      </w:r>
    </w:p>
  </w:footnote>
  <w:footnote w:type="continuationSeparator" w:id="0">
    <w:p w14:paraId="2539F0FB" w14:textId="77777777" w:rsidR="00817A47" w:rsidRDefault="00817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7F8"/>
    <w:multiLevelType w:val="hybridMultilevel"/>
    <w:tmpl w:val="CC6CE270"/>
    <w:lvl w:ilvl="0" w:tplc="9E826D0C">
      <w:start w:val="8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C1B93"/>
    <w:multiLevelType w:val="multilevel"/>
    <w:tmpl w:val="F398C9CE"/>
    <w:lvl w:ilvl="0">
      <w:start w:val="83"/>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B12089"/>
    <w:multiLevelType w:val="multilevel"/>
    <w:tmpl w:val="BA5AC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DB2F23"/>
    <w:multiLevelType w:val="hybridMultilevel"/>
    <w:tmpl w:val="6CE03098"/>
    <w:lvl w:ilvl="0" w:tplc="E140FF58">
      <w:start w:val="8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B702E"/>
    <w:multiLevelType w:val="multilevel"/>
    <w:tmpl w:val="B20E3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97"/>
    <w:rsid w:val="00151353"/>
    <w:rsid w:val="00231C04"/>
    <w:rsid w:val="002346F8"/>
    <w:rsid w:val="004128AE"/>
    <w:rsid w:val="004C3D28"/>
    <w:rsid w:val="006E7CA8"/>
    <w:rsid w:val="00817A47"/>
    <w:rsid w:val="00952417"/>
    <w:rsid w:val="00AD5B4D"/>
    <w:rsid w:val="00EA350C"/>
    <w:rsid w:val="00F75AA3"/>
    <w:rsid w:val="00FE15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D551"/>
  <w15:docId w15:val="{8679D879-2313-8C4A-ABCF-7DE2C21D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CF3"/>
    <w:rPr>
      <w:lang w:val="ro-RO" w:eastAsia="ro-RO"/>
    </w:rPr>
  </w:style>
  <w:style w:type="paragraph" w:styleId="Heading1">
    <w:name w:val="heading 1"/>
    <w:basedOn w:val="Normal"/>
    <w:next w:val="Normal"/>
    <w:link w:val="Heading1Char"/>
    <w:uiPriority w:val="9"/>
    <w:qFormat/>
    <w:rsid w:val="00B35CA6"/>
    <w:pPr>
      <w:keepNext/>
      <w:keepLines/>
      <w:spacing w:before="400" w:after="120"/>
      <w:jc w:val="both"/>
      <w:outlineLvl w:val="0"/>
    </w:pPr>
    <w:rPr>
      <w:rFonts w:eastAsia="Calibri" w:cs="Calibri"/>
      <w:b/>
      <w:color w:val="000000" w:themeColor="text1"/>
      <w:sz w:val="28"/>
      <w:szCs w:val="40"/>
      <w:lang w:eastAsia="en-GB"/>
    </w:rPr>
  </w:style>
  <w:style w:type="paragraph" w:styleId="Heading2">
    <w:name w:val="heading 2"/>
    <w:basedOn w:val="Normal"/>
    <w:next w:val="Normal"/>
    <w:link w:val="Heading2Char"/>
    <w:uiPriority w:val="9"/>
    <w:semiHidden/>
    <w:unhideWhenUsed/>
    <w:qFormat/>
    <w:rsid w:val="00B35CA6"/>
    <w:pPr>
      <w:keepNext/>
      <w:keepLines/>
      <w:spacing w:before="360" w:after="120"/>
      <w:jc w:val="both"/>
      <w:outlineLvl w:val="1"/>
    </w:pPr>
    <w:rPr>
      <w:rFonts w:eastAsia="Arial" w:cs="Arial"/>
      <w:b/>
      <w:color w:val="000000" w:themeColor="text1"/>
      <w:szCs w:val="32"/>
      <w:lang w:val="ro" w:eastAsia="en-GB"/>
    </w:rPr>
  </w:style>
  <w:style w:type="paragraph" w:styleId="Heading3">
    <w:name w:val="heading 3"/>
    <w:basedOn w:val="Normal"/>
    <w:next w:val="Normal"/>
    <w:link w:val="Heading3Char"/>
    <w:uiPriority w:val="9"/>
    <w:semiHidden/>
    <w:unhideWhenUsed/>
    <w:qFormat/>
    <w:rsid w:val="002141FF"/>
    <w:pPr>
      <w:keepNext/>
      <w:keepLines/>
      <w:spacing w:before="280" w:after="80"/>
      <w:outlineLvl w:val="2"/>
    </w:pPr>
    <w:rPr>
      <w:rFonts w:asciiTheme="minorHAnsi" w:eastAsia="Calibri" w:hAnsiTheme="minorHAnsi" w:cs="Calibri"/>
      <w:i/>
      <w:sz w:val="22"/>
      <w:szCs w:val="28"/>
      <w:lang w:val="en-GB"/>
    </w:rPr>
  </w:style>
  <w:style w:type="paragraph" w:styleId="Heading4">
    <w:name w:val="heading 4"/>
    <w:basedOn w:val="Normal"/>
    <w:next w:val="Normal"/>
    <w:link w:val="Heading4Char"/>
    <w:uiPriority w:val="9"/>
    <w:semiHidden/>
    <w:unhideWhenUsed/>
    <w:qFormat/>
    <w:rsid w:val="00B35CA6"/>
    <w:pPr>
      <w:keepNext/>
      <w:keepLines/>
      <w:spacing w:before="240" w:after="40"/>
      <w:jc w:val="both"/>
      <w:outlineLvl w:val="3"/>
    </w:pPr>
    <w:rPr>
      <w:rFonts w:eastAsia="Calibri" w:cs="Calibri"/>
      <w:b/>
      <w:szCs w:val="22"/>
      <w:lang w:eastAsia="en-GB"/>
    </w:rPr>
  </w:style>
  <w:style w:type="paragraph" w:styleId="Heading5">
    <w:name w:val="heading 5"/>
    <w:basedOn w:val="Normal"/>
    <w:next w:val="Normal"/>
    <w:link w:val="Heading5Char"/>
    <w:uiPriority w:val="9"/>
    <w:semiHidden/>
    <w:unhideWhenUsed/>
    <w:qFormat/>
    <w:rsid w:val="001923AD"/>
    <w:pPr>
      <w:keepNext/>
      <w:keepLines/>
      <w:spacing w:before="40" w:after="160"/>
      <w:jc w:val="both"/>
      <w:outlineLvl w:val="4"/>
    </w:pPr>
    <w:rPr>
      <w:rFonts w:eastAsiaTheme="majorEastAsia" w:cstheme="majorBidi"/>
      <w:szCs w:val="22"/>
      <w:lang w:eastAsia="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5F7D"/>
    <w:pPr>
      <w:keepNext/>
      <w:keepLines/>
      <w:spacing w:after="60"/>
      <w:jc w:val="center"/>
    </w:pPr>
    <w:rPr>
      <w:rFonts w:eastAsia="Calibri" w:cs="Calibri"/>
      <w:b/>
      <w:sz w:val="32"/>
      <w:szCs w:val="52"/>
      <w:lang w:eastAsia="en-GB"/>
    </w:rPr>
  </w:style>
  <w:style w:type="character" w:customStyle="1" w:styleId="Heading2Char">
    <w:name w:val="Heading 2 Char"/>
    <w:basedOn w:val="DefaultParagraphFont"/>
    <w:link w:val="Heading2"/>
    <w:uiPriority w:val="9"/>
    <w:rsid w:val="00B35CA6"/>
    <w:rPr>
      <w:rFonts w:ascii="Times New Roman" w:eastAsia="Arial" w:hAnsi="Times New Roman" w:cs="Arial"/>
      <w:b/>
      <w:color w:val="000000" w:themeColor="text1"/>
      <w:szCs w:val="32"/>
      <w:lang w:val="ro" w:eastAsia="en-GB"/>
    </w:rPr>
  </w:style>
  <w:style w:type="character" w:customStyle="1" w:styleId="Heading1Char">
    <w:name w:val="Heading 1 Char"/>
    <w:basedOn w:val="DefaultParagraphFont"/>
    <w:link w:val="Heading1"/>
    <w:uiPriority w:val="9"/>
    <w:rsid w:val="00B35CA6"/>
    <w:rPr>
      <w:rFonts w:ascii="Times New Roman" w:hAnsi="Times New Roman"/>
      <w:b/>
      <w:color w:val="000000" w:themeColor="text1"/>
      <w:sz w:val="28"/>
      <w:szCs w:val="40"/>
      <w:lang w:val="en-US"/>
    </w:rPr>
  </w:style>
  <w:style w:type="character" w:customStyle="1" w:styleId="Heading3Char">
    <w:name w:val="Heading 3 Char"/>
    <w:basedOn w:val="DefaultParagraphFont"/>
    <w:link w:val="Heading3"/>
    <w:uiPriority w:val="9"/>
    <w:rsid w:val="002141FF"/>
    <w:rPr>
      <w:rFonts w:cs="Calibri"/>
      <w:i/>
      <w:sz w:val="22"/>
      <w:szCs w:val="28"/>
      <w:lang w:val="en-GB" w:eastAsia="ro-RO"/>
    </w:rPr>
  </w:style>
  <w:style w:type="character" w:customStyle="1" w:styleId="Heading4Char">
    <w:name w:val="Heading 4 Char"/>
    <w:basedOn w:val="DefaultParagraphFont"/>
    <w:link w:val="Heading4"/>
    <w:uiPriority w:val="9"/>
    <w:rsid w:val="00B35CA6"/>
    <w:rPr>
      <w:rFonts w:ascii="Times New Roman" w:hAnsi="Times New Roman"/>
      <w:b/>
      <w:szCs w:val="22"/>
      <w:lang w:val="en-US"/>
    </w:rPr>
  </w:style>
  <w:style w:type="character" w:customStyle="1" w:styleId="Heading5Char">
    <w:name w:val="Heading 5 Char"/>
    <w:basedOn w:val="DefaultParagraphFont"/>
    <w:link w:val="Heading5"/>
    <w:uiPriority w:val="9"/>
    <w:rsid w:val="001923AD"/>
    <w:rPr>
      <w:rFonts w:ascii="Times New Roman" w:eastAsiaTheme="majorEastAsia" w:hAnsi="Times New Roman" w:cstheme="majorBidi"/>
      <w:lang w:eastAsia="en-GB"/>
    </w:rPr>
  </w:style>
  <w:style w:type="paragraph" w:styleId="Quote">
    <w:name w:val="Quote"/>
    <w:basedOn w:val="Normal"/>
    <w:next w:val="Normal"/>
    <w:link w:val="QuoteChar"/>
    <w:autoRedefine/>
    <w:uiPriority w:val="29"/>
    <w:qFormat/>
    <w:rsid w:val="008A01FF"/>
    <w:pPr>
      <w:spacing w:before="120" w:after="240"/>
      <w:ind w:left="567"/>
      <w:jc w:val="both"/>
    </w:pPr>
    <w:rPr>
      <w:rFonts w:eastAsia="Calibri"/>
      <w:iCs/>
      <w:color w:val="404040" w:themeColor="text1" w:themeTint="BF"/>
      <w:lang w:eastAsia="en-GB"/>
    </w:rPr>
  </w:style>
  <w:style w:type="character" w:customStyle="1" w:styleId="QuoteChar">
    <w:name w:val="Quote Char"/>
    <w:basedOn w:val="DefaultParagraphFont"/>
    <w:link w:val="Quote"/>
    <w:uiPriority w:val="29"/>
    <w:rsid w:val="008A01FF"/>
    <w:rPr>
      <w:rFonts w:ascii="Times New Roman" w:hAnsi="Times New Roman" w:cs="Times New Roman"/>
      <w:iCs/>
      <w:color w:val="404040" w:themeColor="text1" w:themeTint="BF"/>
      <w:lang w:val="en-US" w:eastAsia="en-GB"/>
    </w:rPr>
  </w:style>
  <w:style w:type="paragraph" w:styleId="Subtitle">
    <w:name w:val="Subtitle"/>
    <w:basedOn w:val="Normal"/>
    <w:next w:val="Normal"/>
    <w:link w:val="SubtitleChar"/>
    <w:uiPriority w:val="11"/>
    <w:qFormat/>
    <w:pPr>
      <w:spacing w:after="160"/>
      <w:jc w:val="center"/>
    </w:pPr>
  </w:style>
  <w:style w:type="character" w:customStyle="1" w:styleId="SubtitleChar">
    <w:name w:val="Subtitle Char"/>
    <w:basedOn w:val="DefaultParagraphFont"/>
    <w:link w:val="Subtitle"/>
    <w:uiPriority w:val="11"/>
    <w:rsid w:val="001923AD"/>
    <w:rPr>
      <w:rFonts w:ascii="Times New Roman" w:eastAsiaTheme="minorEastAsia" w:hAnsi="Times New Roman"/>
      <w:spacing w:val="15"/>
      <w:sz w:val="22"/>
      <w:szCs w:val="22"/>
      <w:lang w:val="ro-RO" w:eastAsia="en-GB"/>
    </w:rPr>
  </w:style>
  <w:style w:type="paragraph" w:styleId="NoSpacing">
    <w:name w:val="No Spacing"/>
    <w:autoRedefine/>
    <w:uiPriority w:val="1"/>
    <w:qFormat/>
    <w:rsid w:val="00FF2117"/>
    <w:pPr>
      <w:jc w:val="both"/>
    </w:pPr>
    <w:rPr>
      <w:rFonts w:cs="Calibri"/>
      <w:sz w:val="20"/>
      <w:szCs w:val="22"/>
      <w:lang w:val="en-GB"/>
    </w:rPr>
  </w:style>
  <w:style w:type="paragraph" w:customStyle="1" w:styleId="Fond">
    <w:name w:val="Fond"/>
    <w:basedOn w:val="Normal"/>
    <w:qFormat/>
    <w:rsid w:val="002340BE"/>
    <w:pPr>
      <w:shd w:val="clear" w:color="auto" w:fill="4472C4" w:themeFill="accent1"/>
      <w:spacing w:after="160"/>
      <w:jc w:val="both"/>
    </w:pPr>
    <w:rPr>
      <w:rFonts w:eastAsia="Calibri" w:cs="Calibri"/>
      <w:color w:val="FFFFFF" w:themeColor="background1"/>
      <w:szCs w:val="22"/>
      <w:lang w:eastAsia="en-GB"/>
    </w:rPr>
  </w:style>
  <w:style w:type="character" w:customStyle="1" w:styleId="TitleChar">
    <w:name w:val="Title Char"/>
    <w:basedOn w:val="DefaultParagraphFont"/>
    <w:link w:val="Title"/>
    <w:uiPriority w:val="10"/>
    <w:rsid w:val="00A35F7D"/>
    <w:rPr>
      <w:rFonts w:ascii="Times New Roman" w:eastAsia="Arial" w:hAnsi="Times New Roman" w:cs="Arial"/>
      <w:b/>
      <w:sz w:val="32"/>
      <w:szCs w:val="52"/>
      <w:lang w:val="ro" w:eastAsia="en-GB"/>
    </w:rPr>
  </w:style>
  <w:style w:type="paragraph" w:styleId="Footer">
    <w:name w:val="footer"/>
    <w:basedOn w:val="Normal"/>
    <w:link w:val="FooterChar"/>
    <w:uiPriority w:val="99"/>
    <w:unhideWhenUsed/>
    <w:rsid w:val="000D4E08"/>
    <w:pPr>
      <w:tabs>
        <w:tab w:val="center" w:pos="4513"/>
        <w:tab w:val="right" w:pos="9026"/>
      </w:tabs>
    </w:pPr>
  </w:style>
  <w:style w:type="character" w:customStyle="1" w:styleId="FooterChar">
    <w:name w:val="Footer Char"/>
    <w:basedOn w:val="DefaultParagraphFont"/>
    <w:link w:val="Footer"/>
    <w:uiPriority w:val="99"/>
    <w:rsid w:val="000D4E08"/>
    <w:rPr>
      <w:rFonts w:ascii="Times New Roman" w:eastAsia="Times New Roman" w:hAnsi="Times New Roman" w:cs="Times New Roman"/>
      <w:kern w:val="0"/>
      <w:lang w:val="ro-RO" w:eastAsia="ro-RO"/>
    </w:rPr>
  </w:style>
  <w:style w:type="character" w:styleId="PageNumber">
    <w:name w:val="page number"/>
    <w:basedOn w:val="DefaultParagraphFont"/>
    <w:uiPriority w:val="99"/>
    <w:semiHidden/>
    <w:unhideWhenUsed/>
    <w:rsid w:val="000D4E08"/>
  </w:style>
  <w:style w:type="paragraph" w:styleId="ListParagraph">
    <w:name w:val="List Paragraph"/>
    <w:basedOn w:val="Normal"/>
    <w:uiPriority w:val="34"/>
    <w:qFormat/>
    <w:rsid w:val="00395BB1"/>
    <w:pPr>
      <w:ind w:left="720"/>
      <w:contextualSpacing/>
    </w:pPr>
  </w:style>
  <w:style w:type="character" w:styleId="Hyperlink">
    <w:name w:val="Hyperlink"/>
    <w:basedOn w:val="DefaultParagraphFont"/>
    <w:uiPriority w:val="99"/>
    <w:unhideWhenUsed/>
    <w:rsid w:val="00824BC1"/>
    <w:rPr>
      <w:color w:val="0563C1" w:themeColor="hyperlink"/>
      <w:u w:val="single"/>
    </w:rPr>
  </w:style>
  <w:style w:type="character" w:styleId="UnresolvedMention">
    <w:name w:val="Unresolved Mention"/>
    <w:basedOn w:val="DefaultParagraphFont"/>
    <w:uiPriority w:val="99"/>
    <w:semiHidden/>
    <w:unhideWhenUsed/>
    <w:rsid w:val="00824BC1"/>
    <w:rPr>
      <w:color w:val="605E5C"/>
      <w:shd w:val="clear" w:color="auto" w:fill="E1DFDD"/>
    </w:rPr>
  </w:style>
  <w:style w:type="table" w:styleId="TableGrid">
    <w:name w:val="Table Grid"/>
    <w:basedOn w:val="TableNormal"/>
    <w:uiPriority w:val="99"/>
    <w:rsid w:val="00E0083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eyla.safta@e-uvt.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anca.moldovan@e-uvt.ro" TargetMode="External"/><Relationship Id="rId4" Type="http://schemas.openxmlformats.org/officeDocument/2006/relationships/settings" Target="settings.xml"/><Relationship Id="rId9" Type="http://schemas.openxmlformats.org/officeDocument/2006/relationships/hyperlink" Target="mailto:cristina.cojocaru@e-uvt.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RDwI6VOX5BeLjdA5Br1SvekuA==">CgMxLjA4AHIhMXBFRklCdXhJUmVRU3gxQXpteE53dGZURWFRZU00MXRS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Safta</dc:creator>
  <cp:lastModifiedBy>Psychogiopoulou Evangelia</cp:lastModifiedBy>
  <cp:revision>2</cp:revision>
  <dcterms:created xsi:type="dcterms:W3CDTF">2024-03-19T09:55:00Z</dcterms:created>
  <dcterms:modified xsi:type="dcterms:W3CDTF">2024-03-19T09:55:00Z</dcterms:modified>
</cp:coreProperties>
</file>